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8C" w:rsidRPr="00A837ED" w:rsidRDefault="00D62C8C" w:rsidP="00D62C8C">
      <w:pPr>
        <w:spacing w:after="0"/>
        <w:ind w:left="720"/>
        <w:jc w:val="center"/>
        <w:rPr>
          <w:b/>
          <w:sz w:val="28"/>
          <w:szCs w:val="28"/>
          <w:u w:val="single"/>
        </w:rPr>
      </w:pPr>
      <w:bookmarkStart w:id="0" w:name="_GoBack"/>
      <w:bookmarkEnd w:id="0"/>
      <w:r w:rsidRPr="00A837ED">
        <w:rPr>
          <w:b/>
          <w:sz w:val="28"/>
          <w:szCs w:val="28"/>
          <w:u w:val="single"/>
        </w:rPr>
        <w:t>TechLaw</w:t>
      </w:r>
      <w:r w:rsidR="00A837ED" w:rsidRPr="00A837ED">
        <w:rPr>
          <w:b/>
          <w:sz w:val="28"/>
          <w:szCs w:val="28"/>
          <w:u w:val="single"/>
        </w:rPr>
        <w:t xml:space="preserve"> </w:t>
      </w:r>
      <w:r w:rsidRPr="00A837ED">
        <w:rPr>
          <w:b/>
          <w:sz w:val="28"/>
          <w:szCs w:val="28"/>
          <w:u w:val="single"/>
        </w:rPr>
        <w:t>Redefines Environmental Cost Allocation</w:t>
      </w:r>
    </w:p>
    <w:p w:rsidR="00527B9C" w:rsidRDefault="00A837ED" w:rsidP="00666EFD">
      <w:pPr>
        <w:jc w:val="center"/>
        <w:rPr>
          <w:b/>
          <w:sz w:val="28"/>
          <w:szCs w:val="28"/>
          <w:u w:val="single"/>
        </w:rPr>
      </w:pPr>
      <w:r>
        <w:rPr>
          <w:b/>
          <w:sz w:val="28"/>
          <w:szCs w:val="28"/>
          <w:u w:val="single"/>
        </w:rPr>
        <w:t>Using</w:t>
      </w:r>
      <w:r w:rsidR="003D3430" w:rsidRPr="00B06357">
        <w:rPr>
          <w:b/>
          <w:sz w:val="28"/>
          <w:szCs w:val="28"/>
          <w:u w:val="single"/>
        </w:rPr>
        <w:t xml:space="preserve"> </w:t>
      </w:r>
      <w:r w:rsidR="00527B9C">
        <w:rPr>
          <w:b/>
          <w:sz w:val="28"/>
          <w:szCs w:val="28"/>
          <w:u w:val="single"/>
        </w:rPr>
        <w:t>the Toxicity Factor</w:t>
      </w:r>
    </w:p>
    <w:p w:rsidR="003D3430" w:rsidRDefault="00264F5D" w:rsidP="00264F5D">
      <w:pPr>
        <w:jc w:val="center"/>
      </w:pPr>
      <w:r>
        <w:t>Travis R. Kline</w:t>
      </w:r>
    </w:p>
    <w:p w:rsidR="003D3430" w:rsidRPr="00666EFD" w:rsidRDefault="0096156C" w:rsidP="00234F92">
      <w:pPr>
        <w:spacing w:after="120" w:line="240" w:lineRule="auto"/>
        <w:rPr>
          <w:b/>
        </w:rPr>
      </w:pPr>
      <w:r w:rsidRPr="00666EFD">
        <w:rPr>
          <w:b/>
        </w:rPr>
        <w:t>Intro</w:t>
      </w:r>
      <w:r w:rsidR="008F6899">
        <w:rPr>
          <w:b/>
        </w:rPr>
        <w:t>duction</w:t>
      </w:r>
    </w:p>
    <w:p w:rsidR="00276795" w:rsidRDefault="00657A77" w:rsidP="00234F92">
      <w:pPr>
        <w:spacing w:after="120" w:line="240" w:lineRule="auto"/>
      </w:pPr>
      <w:r>
        <w:t xml:space="preserve">For many years, courts across the country have often relied on a set of six </w:t>
      </w:r>
      <w:r w:rsidR="003D0DE6">
        <w:t>factors</w:t>
      </w:r>
      <w:r w:rsidR="00280ECE">
        <w:t xml:space="preserve"> in </w:t>
      </w:r>
      <w:r w:rsidR="00257BD3">
        <w:t xml:space="preserve">allocating the costs associated with environmental remediation.  While these criteria, </w:t>
      </w:r>
      <w:r w:rsidR="008E4AB3">
        <w:t xml:space="preserve">commonly </w:t>
      </w:r>
      <w:r w:rsidR="00257BD3">
        <w:t xml:space="preserve">known as the Gore Factors, have been generally accepted in </w:t>
      </w:r>
      <w:r w:rsidR="00AE64FE">
        <w:t>state and federal courts</w:t>
      </w:r>
      <w:r w:rsidR="00257BD3">
        <w:t xml:space="preserve">, they </w:t>
      </w:r>
      <w:r w:rsidR="00276795">
        <w:t>are not without weaknesses and criticism.  Chief among the concerns raised</w:t>
      </w:r>
      <w:r w:rsidR="008E4AB3">
        <w:t xml:space="preserve"> is that they</w:t>
      </w:r>
      <w:r w:rsidR="00276795">
        <w:t xml:space="preserve"> rely too heavily on subjective, qualitative factors that leave wide room for interpretation—and disagreement.</w:t>
      </w:r>
    </w:p>
    <w:p w:rsidR="00224C66" w:rsidRDefault="00276795" w:rsidP="00234F92">
      <w:pPr>
        <w:spacing w:after="120" w:line="240" w:lineRule="auto"/>
      </w:pPr>
      <w:r>
        <w:t xml:space="preserve">What appears to be missing is an </w:t>
      </w:r>
      <w:r w:rsidR="00553BEE">
        <w:t>appropriate tool for apportioning environmental liability</w:t>
      </w:r>
      <w:r w:rsidR="00AE64FE">
        <w:t xml:space="preserve"> that hews to the</w:t>
      </w:r>
      <w:r>
        <w:t xml:space="preserve"> more</w:t>
      </w:r>
      <w:r w:rsidR="003D0DE6">
        <w:t xml:space="preserve"> quantitative approach that reflects the US Environmental Protection Agency’s</w:t>
      </w:r>
      <w:r w:rsidR="004A3703">
        <w:t xml:space="preserve"> current</w:t>
      </w:r>
      <w:r w:rsidR="003D0DE6">
        <w:t xml:space="preserve"> risk assessment paradigm quantifying carcinogenic risk and non-carcinogenic </w:t>
      </w:r>
      <w:proofErr w:type="gramStart"/>
      <w:r w:rsidR="003D0DE6">
        <w:t>hazard</w:t>
      </w:r>
      <w:r w:rsidR="008E4AB3">
        <w:t>s</w:t>
      </w:r>
      <w:r w:rsidR="003D0DE6">
        <w:t>.</w:t>
      </w:r>
      <w:proofErr w:type="gramEnd"/>
      <w:r w:rsidR="003D0DE6">
        <w:t xml:space="preserve">  TechLaw believes that the foundation for this approach lies in a redefinition of one of those six factors</w:t>
      </w:r>
      <w:r w:rsidR="008E4AB3">
        <w:t xml:space="preserve">:  the </w:t>
      </w:r>
      <w:r w:rsidR="008E4AB3" w:rsidRPr="00AE64FE">
        <w:rPr>
          <w:i/>
        </w:rPr>
        <w:t xml:space="preserve">Toxicity </w:t>
      </w:r>
      <w:r w:rsidR="002B4B03" w:rsidRPr="004A3703">
        <w:t>f</w:t>
      </w:r>
      <w:r w:rsidR="008E4AB3" w:rsidRPr="004A3703">
        <w:t>actor</w:t>
      </w:r>
      <w:r w:rsidR="00AE64FE">
        <w:t>.</w:t>
      </w:r>
    </w:p>
    <w:p w:rsidR="004A3703" w:rsidRDefault="00AE64FE" w:rsidP="00234F92">
      <w:pPr>
        <w:spacing w:after="120" w:line="240" w:lineRule="auto"/>
      </w:pPr>
      <w:r>
        <w:t>Our ex</w:t>
      </w:r>
      <w:r w:rsidR="00FD480B">
        <w:t>tensive scientific and litigation support</w:t>
      </w:r>
      <w:r>
        <w:t xml:space="preserve"> ex</w:t>
      </w:r>
      <w:r w:rsidR="004A3703">
        <w:t xml:space="preserve">perience shows that this factor—despite </w:t>
      </w:r>
      <w:r>
        <w:t>being often overlooked in dispute resolution and litigation addressing the</w:t>
      </w:r>
      <w:r w:rsidR="004A3703">
        <w:t xml:space="preserve"> divisibility of remedial costs—is </w:t>
      </w:r>
      <w:r w:rsidR="00553BEE">
        <w:t>a technically-defensible, risk-based allocation process</w:t>
      </w:r>
      <w:r w:rsidR="004A3703">
        <w:t xml:space="preserve"> that is </w:t>
      </w:r>
      <w:r w:rsidR="00C111EE" w:rsidRPr="00C111EE">
        <w:t>poised to provide more clarity and certainty for legal teams involved in complex cost allocation litigation</w:t>
      </w:r>
      <w:r>
        <w:t xml:space="preserve">.  </w:t>
      </w:r>
      <w:r w:rsidR="00224C66">
        <w:t xml:space="preserve"> We believe this approach provides </w:t>
      </w:r>
      <w:r w:rsidR="00264C89">
        <w:t>an objective, empirical basis for us</w:t>
      </w:r>
      <w:r w:rsidR="00224C66">
        <w:t xml:space="preserve">e in assessing associative harm, </w:t>
      </w:r>
      <w:r w:rsidR="00264C89">
        <w:t xml:space="preserve">and, by extension, </w:t>
      </w:r>
      <w:r w:rsidR="00C93636">
        <w:t xml:space="preserve">allocating </w:t>
      </w:r>
      <w:r w:rsidR="00264C89">
        <w:t>cost</w:t>
      </w:r>
      <w:r w:rsidR="00C93636">
        <w:t>s</w:t>
      </w:r>
      <w:r w:rsidR="00224C66">
        <w:t xml:space="preserve">. </w:t>
      </w:r>
    </w:p>
    <w:p w:rsidR="00264C89" w:rsidRDefault="00224C66" w:rsidP="00234F92">
      <w:pPr>
        <w:spacing w:after="120" w:line="240" w:lineRule="auto"/>
      </w:pPr>
      <w:r>
        <w:t xml:space="preserve">This paper will demonstrate how this process—what we call a </w:t>
      </w:r>
      <w:r w:rsidR="00A4516A">
        <w:t>Toxicity Adjusted Paradigm (TAP)</w:t>
      </w:r>
      <w:r>
        <w:t>—</w:t>
      </w:r>
      <w:r w:rsidR="009A425D">
        <w:t xml:space="preserve"> </w:t>
      </w:r>
      <w:r>
        <w:t xml:space="preserve">can lead to more fair and timely resolution of cost allocation decisions in the courts, while satisfying the demands and expectations of the nation’s largest and most influential environmental regulator, the US Environmental </w:t>
      </w:r>
      <w:proofErr w:type="gramStart"/>
      <w:r>
        <w:t>Protection Agency</w:t>
      </w:r>
      <w:r w:rsidR="00A4516A">
        <w:t>.</w:t>
      </w:r>
      <w:proofErr w:type="gramEnd"/>
      <w:r w:rsidR="004A3703">
        <w:t xml:space="preserve">  </w:t>
      </w:r>
    </w:p>
    <w:p w:rsidR="00641476" w:rsidRPr="00666EFD" w:rsidRDefault="00641476" w:rsidP="00234F92">
      <w:pPr>
        <w:spacing w:after="120" w:line="240" w:lineRule="auto"/>
        <w:rPr>
          <w:b/>
        </w:rPr>
      </w:pPr>
      <w:r>
        <w:rPr>
          <w:b/>
        </w:rPr>
        <w:t>Background on Cost Allocation and the Gore Factors</w:t>
      </w:r>
    </w:p>
    <w:p w:rsidR="00BD587A" w:rsidRDefault="00990DEF" w:rsidP="00234F92">
      <w:pPr>
        <w:spacing w:line="240" w:lineRule="auto"/>
      </w:pPr>
      <w:r>
        <w:t xml:space="preserve">According to subsection 113(f) of </w:t>
      </w:r>
      <w:r w:rsidR="00C93636">
        <w:t xml:space="preserve">the </w:t>
      </w:r>
      <w:r w:rsidR="00C93636" w:rsidRPr="00C93636">
        <w:t>Superfund Amendments and Reauthorization Act (</w:t>
      </w:r>
      <w:r>
        <w:t>SARA</w:t>
      </w:r>
      <w:r w:rsidR="00C93636">
        <w:t>)</w:t>
      </w:r>
      <w:r>
        <w:t>, courts “</w:t>
      </w:r>
      <w:r w:rsidRPr="008F6899">
        <w:rPr>
          <w:i/>
        </w:rPr>
        <w:t xml:space="preserve">may allocate response costs among liable parties using such equitable factors </w:t>
      </w:r>
      <w:r w:rsidRPr="008F6899">
        <w:rPr>
          <w:b/>
          <w:i/>
        </w:rPr>
        <w:t>as the court determines are appropriate</w:t>
      </w:r>
      <w:r w:rsidR="00641476">
        <w:t xml:space="preserve"> (emphasis added).</w:t>
      </w:r>
      <w:r>
        <w:t>”</w:t>
      </w:r>
      <w:r w:rsidR="00264C89">
        <w:t xml:space="preserve"> </w:t>
      </w:r>
      <w:r w:rsidR="00AD71E6">
        <w:t xml:space="preserve"> </w:t>
      </w:r>
      <w:r w:rsidR="00641476">
        <w:t xml:space="preserve">Over the last several years, </w:t>
      </w:r>
      <w:r w:rsidR="00C93636">
        <w:t>D</w:t>
      </w:r>
      <w:r w:rsidR="00BD587A">
        <w:t xml:space="preserve">istrict courts </w:t>
      </w:r>
      <w:r w:rsidR="00641476">
        <w:t xml:space="preserve">have </w:t>
      </w:r>
      <w:r w:rsidR="00BD587A">
        <w:t>address</w:t>
      </w:r>
      <w:r w:rsidR="00641476">
        <w:t>ed the issue of allocation quite</w:t>
      </w:r>
      <w:r w:rsidR="00BD587A">
        <w:t xml:space="preserve"> differe</w:t>
      </w:r>
      <w:r w:rsidR="00641476">
        <w:t>ntly, depending on site-</w:t>
      </w:r>
      <w:r w:rsidR="00BD587A">
        <w:t xml:space="preserve">specific data and conditions.   </w:t>
      </w:r>
      <w:r>
        <w:t>Common law has not provided courts with a consistent set of criteria for evaluating contribution actions.  In response to this, and in the absence of any preferred approach, the courts have migrated to the implementation of the Gore Factors</w:t>
      </w:r>
      <w:r w:rsidR="00991ECA">
        <w:t>.</w:t>
      </w:r>
      <w:r w:rsidR="00BD587A">
        <w:rPr>
          <w:rStyle w:val="FootnoteReference"/>
        </w:rPr>
        <w:footnoteReference w:id="1"/>
      </w:r>
      <w:r w:rsidR="00BD587A">
        <w:t xml:space="preserve">  The original six Gore Factors, as proposed, include:</w:t>
      </w:r>
    </w:p>
    <w:p w:rsidR="00BD587A" w:rsidRDefault="00BD587A" w:rsidP="00234F92">
      <w:pPr>
        <w:pStyle w:val="ListParagraph"/>
        <w:numPr>
          <w:ilvl w:val="0"/>
          <w:numId w:val="3"/>
        </w:numPr>
        <w:spacing w:line="240" w:lineRule="auto"/>
      </w:pPr>
      <w:r w:rsidRPr="00444D42">
        <w:rPr>
          <w:i/>
        </w:rPr>
        <w:t>Distinguishability</w:t>
      </w:r>
      <w:r w:rsidR="00641476">
        <w:rPr>
          <w:i/>
        </w:rPr>
        <w:t xml:space="preserve"> </w:t>
      </w:r>
      <w:r w:rsidR="00641476">
        <w:t>— a</w:t>
      </w:r>
      <w:r>
        <w:t>bility of the parties to demonstrate their contribution to a discharge, release, o</w:t>
      </w:r>
      <w:r w:rsidR="00234F92">
        <w:t>r disposal of a hazardous waste</w:t>
      </w:r>
    </w:p>
    <w:p w:rsidR="00BD587A" w:rsidRDefault="00BD587A" w:rsidP="00234F92">
      <w:pPr>
        <w:pStyle w:val="ListParagraph"/>
        <w:numPr>
          <w:ilvl w:val="0"/>
          <w:numId w:val="3"/>
        </w:numPr>
        <w:spacing w:line="240" w:lineRule="auto"/>
      </w:pPr>
      <w:r w:rsidRPr="00444D42">
        <w:rPr>
          <w:i/>
        </w:rPr>
        <w:t>Amount</w:t>
      </w:r>
      <w:r w:rsidR="00641476">
        <w:rPr>
          <w:i/>
        </w:rPr>
        <w:t xml:space="preserve"> </w:t>
      </w:r>
      <w:r w:rsidR="00641476">
        <w:t>— a</w:t>
      </w:r>
      <w:r>
        <w:t xml:space="preserve">mount of hazardous waste </w:t>
      </w:r>
      <w:r w:rsidR="00234F92">
        <w:t>contributed</w:t>
      </w:r>
    </w:p>
    <w:p w:rsidR="00BD587A" w:rsidRDefault="00BD587A" w:rsidP="00234F92">
      <w:pPr>
        <w:pStyle w:val="ListParagraph"/>
        <w:numPr>
          <w:ilvl w:val="0"/>
          <w:numId w:val="3"/>
        </w:numPr>
        <w:spacing w:line="240" w:lineRule="auto"/>
      </w:pPr>
      <w:r>
        <w:rPr>
          <w:i/>
        </w:rPr>
        <w:t>Toxicity</w:t>
      </w:r>
      <w:r w:rsidR="00641476">
        <w:rPr>
          <w:i/>
        </w:rPr>
        <w:t xml:space="preserve"> </w:t>
      </w:r>
      <w:r w:rsidR="00641476">
        <w:t>— t</w:t>
      </w:r>
      <w:r>
        <w:t xml:space="preserve">he degree of toxicity </w:t>
      </w:r>
      <w:r w:rsidR="00234F92">
        <w:t>of the hazardous waste involved</w:t>
      </w:r>
    </w:p>
    <w:p w:rsidR="00BD587A" w:rsidRDefault="00BD587A" w:rsidP="00234F92">
      <w:pPr>
        <w:pStyle w:val="ListParagraph"/>
        <w:numPr>
          <w:ilvl w:val="0"/>
          <w:numId w:val="3"/>
        </w:numPr>
        <w:spacing w:line="240" w:lineRule="auto"/>
      </w:pPr>
      <w:r>
        <w:rPr>
          <w:i/>
        </w:rPr>
        <w:t>Involvement</w:t>
      </w:r>
      <w:r w:rsidR="00641476">
        <w:t xml:space="preserve"> — t</w:t>
      </w:r>
      <w:r>
        <w:t xml:space="preserve">he degree of involvement by the parties in the generation, transportation, treatment, storage or disposal </w:t>
      </w:r>
      <w:r w:rsidR="00234F92">
        <w:t>of the hazardous waste at issue</w:t>
      </w:r>
    </w:p>
    <w:p w:rsidR="00BD587A" w:rsidRDefault="00BD587A" w:rsidP="00234F92">
      <w:pPr>
        <w:pStyle w:val="ListParagraph"/>
        <w:numPr>
          <w:ilvl w:val="0"/>
          <w:numId w:val="3"/>
        </w:numPr>
        <w:spacing w:line="240" w:lineRule="auto"/>
      </w:pPr>
      <w:r w:rsidRPr="00C95130">
        <w:rPr>
          <w:i/>
        </w:rPr>
        <w:t>Care</w:t>
      </w:r>
      <w:r w:rsidR="00B712E7">
        <w:t xml:space="preserve">— the </w:t>
      </w:r>
      <w:r>
        <w:t>degree of care exercised by the parties with respect t</w:t>
      </w:r>
      <w:r w:rsidR="00234F92">
        <w:t>o the hazardous waste at issue</w:t>
      </w:r>
    </w:p>
    <w:p w:rsidR="00BD587A" w:rsidRDefault="00BD587A" w:rsidP="00234F92">
      <w:pPr>
        <w:pStyle w:val="ListParagraph"/>
        <w:numPr>
          <w:ilvl w:val="0"/>
          <w:numId w:val="3"/>
        </w:numPr>
        <w:spacing w:after="120" w:line="240" w:lineRule="auto"/>
      </w:pPr>
      <w:r>
        <w:rPr>
          <w:i/>
        </w:rPr>
        <w:lastRenderedPageBreak/>
        <w:t>Cooperation</w:t>
      </w:r>
      <w:r w:rsidR="00B712E7">
        <w:rPr>
          <w:i/>
        </w:rPr>
        <w:t xml:space="preserve"> </w:t>
      </w:r>
      <w:r w:rsidR="00B712E7">
        <w:t xml:space="preserve">— the </w:t>
      </w:r>
      <w:r>
        <w:t xml:space="preserve">degree of cooperation </w:t>
      </w:r>
      <w:r w:rsidR="00B712E7">
        <w:t>among the parties with federal, s</w:t>
      </w:r>
      <w:r>
        <w:t>tate or local officials to prevent any harm to the p</w:t>
      </w:r>
      <w:r w:rsidR="00234F92">
        <w:t>ublic health or the environment</w:t>
      </w:r>
    </w:p>
    <w:p w:rsidR="00BD587A" w:rsidRDefault="00BD587A" w:rsidP="00234F92">
      <w:pPr>
        <w:spacing w:after="120" w:line="240" w:lineRule="auto"/>
      </w:pPr>
      <w:r>
        <w:t xml:space="preserve">Of these factors, only the </w:t>
      </w:r>
      <w:r w:rsidRPr="00C93636">
        <w:rPr>
          <w:i/>
        </w:rPr>
        <w:t>Toxicity</w:t>
      </w:r>
      <w:r>
        <w:t xml:space="preserve"> and </w:t>
      </w:r>
      <w:r w:rsidRPr="00C93636">
        <w:rPr>
          <w:i/>
        </w:rPr>
        <w:t>Amount</w:t>
      </w:r>
      <w:r>
        <w:t xml:space="preserve"> factors are inherently translatable to quantitative assessment.  Neither is more significant than the other and, in fact, they must be assessed in tandem (excepting the</w:t>
      </w:r>
      <w:r w:rsidR="004A3703">
        <w:t xml:space="preserve"> unusual event</w:t>
      </w:r>
      <w:r>
        <w:t xml:space="preserve"> when the same waste stream/toxicant has been contributed to a common</w:t>
      </w:r>
      <w:r w:rsidR="00B712E7">
        <w:t xml:space="preserve"> location by multiple entities—then, t</w:t>
      </w:r>
      <w:r>
        <w:t xml:space="preserve">oxicity is effectively factored out).  The </w:t>
      </w:r>
      <w:r w:rsidRPr="00B712E7">
        <w:rPr>
          <w:i/>
        </w:rPr>
        <w:t xml:space="preserve">Distinguishability </w:t>
      </w:r>
      <w:r>
        <w:t>factor is subject t</w:t>
      </w:r>
      <w:r w:rsidR="00B712E7">
        <w:t>o professional interpretation, hinging on supporting science such as hydrogeology,</w:t>
      </w:r>
      <w:r>
        <w:t xml:space="preserve"> and relies on data derived from an investigation to ascertain sources and fate and transport pathways, allowing or supporting the differentiation between contributing parties.  The remaining factors are largely modifying factor</w:t>
      </w:r>
      <w:r w:rsidR="00B712E7">
        <w:t xml:space="preserve">s, not underpinned by science.  They are </w:t>
      </w:r>
      <w:r>
        <w:t>subjective in nature, open to interpretation and more naturally lend themselves, and their credibility, to legal argument and position.</w:t>
      </w:r>
    </w:p>
    <w:p w:rsidR="00991ECA" w:rsidRDefault="00991ECA" w:rsidP="00234F92">
      <w:pPr>
        <w:spacing w:after="120" w:line="240" w:lineRule="auto"/>
      </w:pPr>
      <w:r>
        <w:t>To date, cost allocation</w:t>
      </w:r>
      <w:r w:rsidR="002B4B03">
        <w:t xml:space="preserve"> decisions</w:t>
      </w:r>
      <w:r>
        <w:t xml:space="preserve"> have</w:t>
      </w:r>
      <w:r w:rsidR="002B4B03">
        <w:t xml:space="preserve"> largely</w:t>
      </w:r>
      <w:r>
        <w:t xml:space="preserve"> considered </w:t>
      </w:r>
      <w:r w:rsidR="00C93636">
        <w:t xml:space="preserve">a </w:t>
      </w:r>
      <w:r>
        <w:t>gene</w:t>
      </w:r>
      <w:r w:rsidR="00B712E7">
        <w:t>ralized assessment of toxicity</w:t>
      </w:r>
      <w:r>
        <w:t xml:space="preserve"> wit</w:t>
      </w:r>
      <w:r w:rsidR="00B712E7">
        <w:t>hout regard to toxic end</w:t>
      </w:r>
      <w:r w:rsidR="002B4B03">
        <w:t>-point</w:t>
      </w:r>
      <w:r>
        <w:t xml:space="preserve">.  </w:t>
      </w:r>
      <w:r w:rsidR="00B712E7">
        <w:t xml:space="preserve">TechLaw has redefined application of </w:t>
      </w:r>
      <w:r w:rsidR="00B712E7" w:rsidRPr="00C93636">
        <w:rPr>
          <w:i/>
        </w:rPr>
        <w:t>T</w:t>
      </w:r>
      <w:r w:rsidR="00B712E7">
        <w:rPr>
          <w:i/>
        </w:rPr>
        <w:t xml:space="preserve">oxicity </w:t>
      </w:r>
      <w:r>
        <w:t xml:space="preserve">predicated on the law and defensible science advocating an objective approach to the allocation of culpability (or distinct harm), with a concentration on the </w:t>
      </w:r>
      <w:r w:rsidR="00C93636" w:rsidRPr="00C93636">
        <w:rPr>
          <w:i/>
        </w:rPr>
        <w:t>T</w:t>
      </w:r>
      <w:r w:rsidRPr="00C93636">
        <w:rPr>
          <w:i/>
        </w:rPr>
        <w:t xml:space="preserve">oxicity </w:t>
      </w:r>
      <w:r w:rsidR="00C93636" w:rsidRPr="00C93636">
        <w:rPr>
          <w:i/>
        </w:rPr>
        <w:t>Factor</w:t>
      </w:r>
      <w:r>
        <w:t xml:space="preserve">.  </w:t>
      </w:r>
    </w:p>
    <w:p w:rsidR="00356924" w:rsidRPr="002F7E04" w:rsidRDefault="00356924" w:rsidP="00234F92">
      <w:pPr>
        <w:spacing w:after="120" w:line="240" w:lineRule="auto"/>
        <w:rPr>
          <w:b/>
        </w:rPr>
      </w:pPr>
      <w:r w:rsidRPr="002F7E04">
        <w:rPr>
          <w:b/>
        </w:rPr>
        <w:t>Objective Factors:  Amount and Toxicity</w:t>
      </w:r>
    </w:p>
    <w:p w:rsidR="00A465EF" w:rsidRDefault="00A4516A" w:rsidP="00234F92">
      <w:pPr>
        <w:spacing w:after="120" w:line="240" w:lineRule="auto"/>
      </w:pPr>
      <w:r>
        <w:t>As</w:t>
      </w:r>
      <w:r w:rsidR="004A3703">
        <w:t xml:space="preserve"> previously </w:t>
      </w:r>
      <w:r>
        <w:t xml:space="preserve">stated, toxicity and mass of constituent contributed are the two objective factors typically considered in a defensible cost allocation scheme.  </w:t>
      </w:r>
      <w:r w:rsidR="005C106C">
        <w:t xml:space="preserve">The </w:t>
      </w:r>
      <w:r w:rsidR="005C106C" w:rsidRPr="004B68EA">
        <w:rPr>
          <w:i/>
        </w:rPr>
        <w:t xml:space="preserve">Amount </w:t>
      </w:r>
      <w:r w:rsidR="002B4B03">
        <w:t xml:space="preserve">factor </w:t>
      </w:r>
      <w:r w:rsidR="005C106C">
        <w:t xml:space="preserve">has the capacity to influence allocation of costs according to the relative mass (quantifiable) of individual contaminants that a </w:t>
      </w:r>
      <w:r w:rsidR="002B4B03">
        <w:t>Potentially Responsible Party (</w:t>
      </w:r>
      <w:r w:rsidR="005C106C">
        <w:t>PRP</w:t>
      </w:r>
      <w:r w:rsidR="002B4B03">
        <w:t>)</w:t>
      </w:r>
      <w:r w:rsidR="005C106C">
        <w:t xml:space="preserve"> has contributed to a waste site.  </w:t>
      </w:r>
      <w:r w:rsidR="00A465EF">
        <w:t>The actual contaminant mass does not need to b</w:t>
      </w:r>
      <w:r w:rsidR="00A039F5">
        <w:t xml:space="preserve">e precisely known; the </w:t>
      </w:r>
      <w:r w:rsidR="00A039F5" w:rsidRPr="008C6241">
        <w:rPr>
          <w:i/>
        </w:rPr>
        <w:t xml:space="preserve">Amount </w:t>
      </w:r>
      <w:r w:rsidR="002B4B03" w:rsidRPr="002B4B03">
        <w:t xml:space="preserve">factor </w:t>
      </w:r>
      <w:r w:rsidR="00A465EF">
        <w:t xml:space="preserve">can be </w:t>
      </w:r>
      <w:r w:rsidR="008C6241">
        <w:t>based</w:t>
      </w:r>
      <w:r w:rsidR="00A465EF">
        <w:t xml:space="preserve"> on volume of soil or groundw</w:t>
      </w:r>
      <w:r w:rsidR="00A039F5">
        <w:t>ater required to be treated</w:t>
      </w:r>
      <w:r w:rsidR="00A465EF">
        <w:t xml:space="preserve"> and related to discrete PRP inputs.</w:t>
      </w:r>
    </w:p>
    <w:p w:rsidR="005C106C" w:rsidRDefault="00022A32" w:rsidP="00234F92">
      <w:pPr>
        <w:spacing w:after="120" w:line="240" w:lineRule="auto"/>
      </w:pPr>
      <w:r>
        <w:t xml:space="preserve">The </w:t>
      </w:r>
      <w:r w:rsidRPr="008C6241">
        <w:rPr>
          <w:i/>
        </w:rPr>
        <w:t>T</w:t>
      </w:r>
      <w:r w:rsidR="005C106C" w:rsidRPr="008C6241">
        <w:rPr>
          <w:i/>
        </w:rPr>
        <w:t xml:space="preserve">oxicity </w:t>
      </w:r>
      <w:r w:rsidR="002B4B03">
        <w:t>f</w:t>
      </w:r>
      <w:r w:rsidR="005C106C" w:rsidRPr="002B4B03">
        <w:t>ac</w:t>
      </w:r>
      <w:r w:rsidRPr="002B4B03">
        <w:t>t</w:t>
      </w:r>
      <w:r w:rsidR="005C106C" w:rsidRPr="002B4B03">
        <w:t xml:space="preserve">or </w:t>
      </w:r>
      <w:r w:rsidR="005C106C">
        <w:t>presents a second quantifiable, objective metric for characterization of contri</w:t>
      </w:r>
      <w:r w:rsidR="00AD71E6">
        <w:t>bu</w:t>
      </w:r>
      <w:r w:rsidR="005C106C">
        <w:t>tion with respect to harm.  The toxicity of a given contamina</w:t>
      </w:r>
      <w:r>
        <w:t>n</w:t>
      </w:r>
      <w:r w:rsidR="005C106C">
        <w:t xml:space="preserve">t </w:t>
      </w:r>
      <w:r w:rsidR="00AD71E6">
        <w:t xml:space="preserve">can </w:t>
      </w:r>
      <w:r w:rsidR="005C106C">
        <w:t>critically modif</w:t>
      </w:r>
      <w:r w:rsidR="00AD71E6">
        <w:t>y</w:t>
      </w:r>
      <w:r w:rsidR="005C106C">
        <w:t xml:space="preserve"> the </w:t>
      </w:r>
      <w:r w:rsidR="002B4B03">
        <w:rPr>
          <w:i/>
        </w:rPr>
        <w:t xml:space="preserve">Amount </w:t>
      </w:r>
      <w:r w:rsidR="002B4B03" w:rsidRPr="002B4B03">
        <w:t>f</w:t>
      </w:r>
      <w:r w:rsidR="005C106C" w:rsidRPr="002B4B03">
        <w:t>actor.</w:t>
      </w:r>
      <w:r w:rsidR="005C106C">
        <w:t xml:space="preserve">  </w:t>
      </w:r>
      <w:r w:rsidR="00210D00">
        <w:t xml:space="preserve">Successful cost allocation depends on the relative </w:t>
      </w:r>
      <w:r w:rsidR="008C6241">
        <w:t xml:space="preserve">PRP </w:t>
      </w:r>
      <w:r w:rsidR="00210D00">
        <w:t xml:space="preserve">contributions to an impacted area </w:t>
      </w:r>
      <w:r w:rsidR="005C106C">
        <w:t xml:space="preserve">and the associated danger that the contaminant may pose to human health and/or the environment.  </w:t>
      </w:r>
      <w:r w:rsidR="00980C6B">
        <w:t>Thus, a more precise measurement tool that places a premium on the empirical foundation of toxicity can play a critical role in legal cases connected to cost allocation.</w:t>
      </w:r>
    </w:p>
    <w:p w:rsidR="008E4633" w:rsidRDefault="008E4633" w:rsidP="00234F92">
      <w:pPr>
        <w:spacing w:after="120" w:line="240" w:lineRule="auto"/>
      </w:pPr>
      <w:r>
        <w:t>Toxicology is the study of poisons</w:t>
      </w:r>
      <w:r w:rsidR="002B4B03">
        <w:t>.  I</w:t>
      </w:r>
      <w:r>
        <w:t>t is the scientific discipline upon which the toxicity assessment, as one of the primar</w:t>
      </w:r>
      <w:r w:rsidR="00FD480B">
        <w:t>y factors in cost allocation, should be</w:t>
      </w:r>
      <w:r>
        <w:t xml:space="preserve"> predicated.  The primary fundamental tenet in toxicology is that </w:t>
      </w:r>
      <w:r w:rsidRPr="00264F5D">
        <w:rPr>
          <w:i/>
        </w:rPr>
        <w:t>“dose makes the poison.”</w:t>
      </w:r>
      <w:r>
        <w:t xml:space="preserve">  That is, environmental harm or health risk is conditional, based on the</w:t>
      </w:r>
      <w:r w:rsidR="002B4B03">
        <w:t xml:space="preserve"> amount and type of constituent, </w:t>
      </w:r>
      <w:r>
        <w:t xml:space="preserve">as well as method of delivery or exposure.  Application of the Gore </w:t>
      </w:r>
      <w:proofErr w:type="gramStart"/>
      <w:r w:rsidR="00A4516A">
        <w:t>Factors</w:t>
      </w:r>
      <w:r w:rsidR="002B4B03">
        <w:t>,</w:t>
      </w:r>
      <w:proofErr w:type="gramEnd"/>
      <w:r>
        <w:t xml:space="preserve"> and the </w:t>
      </w:r>
      <w:r w:rsidR="00A4516A" w:rsidRPr="00A4516A">
        <w:rPr>
          <w:i/>
        </w:rPr>
        <w:t>T</w:t>
      </w:r>
      <w:r w:rsidRPr="00A4516A">
        <w:rPr>
          <w:i/>
        </w:rPr>
        <w:t xml:space="preserve">oxicity </w:t>
      </w:r>
      <w:r w:rsidR="002B4B03" w:rsidRPr="002B4B03">
        <w:t>f</w:t>
      </w:r>
      <w:r w:rsidRPr="002B4B03">
        <w:t xml:space="preserve">actor </w:t>
      </w:r>
      <w:r>
        <w:t>in particular, requires a detailed and defensible understanding of site conditions and is not amenab</w:t>
      </w:r>
      <w:r w:rsidR="00FD480B">
        <w:t>le to application at some</w:t>
      </w:r>
      <w:r>
        <w:t xml:space="preserve"> sites.  Effective application is dependent on an adequate number of scientific sampling points to characterize site conditions (nature and extent definition) and application of environmental forensics to identify and trace contamination source and release or fate and transport pathways.</w:t>
      </w:r>
    </w:p>
    <w:p w:rsidR="004F4F9E" w:rsidRPr="00872FBF" w:rsidRDefault="00086FC9" w:rsidP="00234F92">
      <w:pPr>
        <w:spacing w:after="120" w:line="240" w:lineRule="auto"/>
        <w:rPr>
          <w:rFonts w:cstheme="minorHAnsi"/>
          <w:b/>
        </w:rPr>
      </w:pPr>
      <w:r>
        <w:t>Several c</w:t>
      </w:r>
      <w:r w:rsidR="004F4F9E" w:rsidRPr="00872FBF">
        <w:t xml:space="preserve">ourts have held that there is no minimum threshold for liability due to “quantity or concentration.”  CERCLA contains no minimum </w:t>
      </w:r>
      <w:r w:rsidR="001E2F29" w:rsidRPr="00872FBF">
        <w:t>“</w:t>
      </w:r>
      <w:r w:rsidR="004F4F9E" w:rsidRPr="00872FBF">
        <w:t>amount</w:t>
      </w:r>
      <w:r w:rsidR="001E2F29" w:rsidRPr="00872FBF">
        <w:t>” definition</w:t>
      </w:r>
      <w:r w:rsidR="004F4F9E" w:rsidRPr="00872FBF">
        <w:t xml:space="preserve"> which </w:t>
      </w:r>
      <w:r w:rsidR="001E2F29" w:rsidRPr="00872FBF">
        <w:t>could assist in a determination of wh</w:t>
      </w:r>
      <w:r>
        <w:t>ether releases are significant;</w:t>
      </w:r>
      <w:r w:rsidR="001E2F29" w:rsidRPr="00872FBF">
        <w:t xml:space="preserve"> however</w:t>
      </w:r>
      <w:r>
        <w:t>,</w:t>
      </w:r>
      <w:r w:rsidR="001E2F29" w:rsidRPr="00872FBF">
        <w:t xml:space="preserve"> </w:t>
      </w:r>
      <w:r w:rsidR="00872FBF" w:rsidRPr="00872FBF">
        <w:t>EPA policy allows for a</w:t>
      </w:r>
      <w:r w:rsidR="00872FBF" w:rsidRPr="00872FBF">
        <w:rPr>
          <w:rStyle w:val="Strong"/>
          <w:rFonts w:ascii="Verdana" w:hAnsi="Verdana"/>
          <w:color w:val="000000"/>
          <w:lang w:val="en"/>
        </w:rPr>
        <w:t xml:space="preserve"> </w:t>
      </w:r>
      <w:r w:rsidR="00872FBF" w:rsidRPr="00872FBF">
        <w:rPr>
          <w:rStyle w:val="Strong"/>
          <w:rFonts w:cstheme="minorHAnsi"/>
          <w:b w:val="0"/>
          <w:i/>
          <w:color w:val="000000"/>
          <w:lang w:val="en"/>
        </w:rPr>
        <w:t xml:space="preserve">de </w:t>
      </w:r>
      <w:proofErr w:type="spellStart"/>
      <w:r w:rsidR="00872FBF" w:rsidRPr="00872FBF">
        <w:rPr>
          <w:rStyle w:val="Strong"/>
          <w:rFonts w:cstheme="minorHAnsi"/>
          <w:b w:val="0"/>
          <w:i/>
          <w:color w:val="000000"/>
          <w:lang w:val="en"/>
        </w:rPr>
        <w:t>minimis</w:t>
      </w:r>
      <w:proofErr w:type="spellEnd"/>
      <w:r w:rsidR="00872FBF" w:rsidRPr="00872FBF">
        <w:rPr>
          <w:rStyle w:val="Strong"/>
          <w:rFonts w:cstheme="minorHAnsi"/>
          <w:b w:val="0"/>
          <w:color w:val="000000"/>
          <w:lang w:val="en"/>
        </w:rPr>
        <w:t xml:space="preserve"> settlement</w:t>
      </w:r>
      <w:r w:rsidR="00872FBF">
        <w:rPr>
          <w:rStyle w:val="Strong"/>
          <w:rFonts w:cstheme="minorHAnsi"/>
          <w:b w:val="0"/>
          <w:color w:val="000000"/>
          <w:lang w:val="en"/>
        </w:rPr>
        <w:t>.  According to EPA’s website, in general, this is</w:t>
      </w:r>
      <w:r w:rsidR="00872FBF" w:rsidRPr="00872FBF">
        <w:rPr>
          <w:rStyle w:val="Strong"/>
          <w:rFonts w:cstheme="minorHAnsi"/>
          <w:b w:val="0"/>
          <w:color w:val="000000"/>
          <w:lang w:val="en"/>
        </w:rPr>
        <w:t xml:space="preserve"> a settlement between EPA and those parties who are respons</w:t>
      </w:r>
      <w:r>
        <w:rPr>
          <w:rStyle w:val="Strong"/>
          <w:rFonts w:cstheme="minorHAnsi"/>
          <w:b w:val="0"/>
          <w:color w:val="000000"/>
          <w:lang w:val="en"/>
        </w:rPr>
        <w:t xml:space="preserve">ible for a minimal contribution—in </w:t>
      </w:r>
      <w:r w:rsidR="00872FBF" w:rsidRPr="00872FBF">
        <w:rPr>
          <w:rStyle w:val="Strong"/>
          <w:rFonts w:cstheme="minorHAnsi"/>
          <w:b w:val="0"/>
          <w:color w:val="000000"/>
          <w:lang w:val="en"/>
        </w:rPr>
        <w:t>amount and toxicity</w:t>
      </w:r>
      <w:r>
        <w:rPr>
          <w:rStyle w:val="Strong"/>
          <w:rFonts w:cstheme="minorHAnsi"/>
          <w:b w:val="0"/>
          <w:color w:val="000000"/>
          <w:lang w:val="en"/>
        </w:rPr>
        <w:t>—o</w:t>
      </w:r>
      <w:r w:rsidR="00872FBF" w:rsidRPr="00872FBF">
        <w:rPr>
          <w:rStyle w:val="Strong"/>
          <w:rFonts w:cstheme="minorHAnsi"/>
          <w:b w:val="0"/>
          <w:color w:val="000000"/>
          <w:lang w:val="en"/>
        </w:rPr>
        <w:t>f the hazardous substances at a Superfund site.</w:t>
      </w:r>
    </w:p>
    <w:p w:rsidR="00AD49B6" w:rsidRDefault="004F4F9E" w:rsidP="00234F92">
      <w:pPr>
        <w:spacing w:after="120" w:line="240" w:lineRule="auto"/>
      </w:pPr>
      <w:r>
        <w:t xml:space="preserve">The </w:t>
      </w:r>
      <w:r w:rsidRPr="00A4516A">
        <w:rPr>
          <w:i/>
        </w:rPr>
        <w:t xml:space="preserve">Toxicity </w:t>
      </w:r>
      <w:r w:rsidR="00086FC9">
        <w:t>f</w:t>
      </w:r>
      <w:r w:rsidRPr="00086FC9">
        <w:t xml:space="preserve">actor </w:t>
      </w:r>
      <w:r>
        <w:t>addresses a contaminant</w:t>
      </w:r>
      <w:r w:rsidR="00A465EF">
        <w:t>’</w:t>
      </w:r>
      <w:r w:rsidR="00E246B3">
        <w:t xml:space="preserve">s potential for harm:  </w:t>
      </w:r>
      <w:r w:rsidR="00086FC9">
        <w:t xml:space="preserve">human, </w:t>
      </w:r>
      <w:r>
        <w:t>ecolo</w:t>
      </w:r>
      <w:r w:rsidR="00086FC9">
        <w:t>gical health or resources</w:t>
      </w:r>
      <w:r>
        <w:t xml:space="preserve">.  </w:t>
      </w:r>
      <w:r w:rsidR="00086FC9">
        <w:t>Thus, e</w:t>
      </w:r>
      <w:r>
        <w:t>xpert witnesses</w:t>
      </w:r>
      <w:r w:rsidR="00AB03D1">
        <w:t xml:space="preserve"> in toxicology, chemistry and related scientific disciplines</w:t>
      </w:r>
      <w:r>
        <w:t xml:space="preserve"> should be used to testify as to a given chemical’s properties</w:t>
      </w:r>
      <w:r w:rsidR="00086FC9">
        <w:t>,</w:t>
      </w:r>
      <w:r>
        <w:t xml:space="preserve"> as toxicity is grounded in science.  As noted above, this factor is very important as a modifier of the </w:t>
      </w:r>
      <w:r w:rsidRPr="00A4516A">
        <w:rPr>
          <w:i/>
        </w:rPr>
        <w:t xml:space="preserve">Amount </w:t>
      </w:r>
      <w:r w:rsidR="00086FC9">
        <w:t>f</w:t>
      </w:r>
      <w:r w:rsidRPr="00086FC9">
        <w:t>actor</w:t>
      </w:r>
      <w:r w:rsidR="00AD49B6">
        <w:t>,</w:t>
      </w:r>
      <w:r w:rsidRPr="00086FC9">
        <w:t xml:space="preserve"> </w:t>
      </w:r>
      <w:r>
        <w:t>a</w:t>
      </w:r>
      <w:r w:rsidR="00C87E53">
        <w:t>nd the product of these variables c</w:t>
      </w:r>
      <w:r>
        <w:t>ould be view</w:t>
      </w:r>
      <w:r w:rsidR="00AD49B6">
        <w:t xml:space="preserve">ed as a single equitable factor.  </w:t>
      </w:r>
      <w:r w:rsidR="00E246B3">
        <w:t xml:space="preserve">It also represents </w:t>
      </w:r>
      <w:r w:rsidR="00AB03D1">
        <w:t>a potential shift in cost allocation thinking at the legal level, owing to a</w:t>
      </w:r>
      <w:r w:rsidR="00AB03D1" w:rsidRPr="00AB03D1">
        <w:t xml:space="preserve">dvances in toxicology </w:t>
      </w:r>
      <w:r w:rsidR="00AB03D1" w:rsidRPr="00AB03D1">
        <w:lastRenderedPageBreak/>
        <w:t>and risk assessment science, as well as in field investigation and analytical methods</w:t>
      </w:r>
      <w:r w:rsidR="00FD480B">
        <w:t xml:space="preserve">.  Indeed, it opens a wider potential for acceptance of </w:t>
      </w:r>
      <w:r w:rsidR="00AB03D1">
        <w:t xml:space="preserve">the </w:t>
      </w:r>
      <w:r w:rsidR="00AB03D1" w:rsidRPr="00AB03D1">
        <w:rPr>
          <w:i/>
        </w:rPr>
        <w:t>Toxicity</w:t>
      </w:r>
      <w:r w:rsidR="00AB03D1">
        <w:t xml:space="preserve"> factor in the courtroom.</w:t>
      </w:r>
    </w:p>
    <w:p w:rsidR="00D62C8C" w:rsidRPr="00FE1CB4" w:rsidRDefault="00AB03D1" w:rsidP="00234F92">
      <w:pPr>
        <w:spacing w:after="120" w:line="240" w:lineRule="auto"/>
        <w:rPr>
          <w:b/>
        </w:rPr>
      </w:pPr>
      <w:r>
        <w:rPr>
          <w:b/>
        </w:rPr>
        <w:t xml:space="preserve">A </w:t>
      </w:r>
      <w:r w:rsidR="00D62C8C">
        <w:rPr>
          <w:b/>
        </w:rPr>
        <w:t>Toxicity Adjusted</w:t>
      </w:r>
      <w:r w:rsidR="00D62C8C" w:rsidRPr="00FE1CB4">
        <w:rPr>
          <w:b/>
        </w:rPr>
        <w:t xml:space="preserve"> Paradigm </w:t>
      </w:r>
      <w:r w:rsidR="00D62C8C">
        <w:rPr>
          <w:b/>
        </w:rPr>
        <w:t xml:space="preserve">(TAP) </w:t>
      </w:r>
      <w:r w:rsidR="00D62C8C" w:rsidRPr="00FE1CB4">
        <w:rPr>
          <w:b/>
        </w:rPr>
        <w:t>for Quantitative Cost Allocation Basis</w:t>
      </w:r>
      <w:r w:rsidR="00351392">
        <w:rPr>
          <w:b/>
        </w:rPr>
        <w:t>:  An Example</w:t>
      </w:r>
    </w:p>
    <w:p w:rsidR="00D62C8C" w:rsidRDefault="00D62C8C" w:rsidP="00234F92">
      <w:pPr>
        <w:spacing w:after="120" w:line="240" w:lineRule="auto"/>
      </w:pPr>
      <w:r>
        <w:t>Corrective action, as practiced under EPA and most state policies and programs, is heavily influenced by risk assessment.  Risk assessment is the process by which the probability of an adverse health effect is quantified, predicated on a defined set of exposure conditions.</w:t>
      </w:r>
    </w:p>
    <w:p w:rsidR="00A4516A" w:rsidRDefault="00D62C8C" w:rsidP="00234F92">
      <w:pPr>
        <w:spacing w:after="120" w:line="240" w:lineRule="auto"/>
      </w:pPr>
      <w:r>
        <w:t>Risk assessment endpoints are quantified on two separate bases: cancer and non</w:t>
      </w:r>
      <w:r w:rsidR="00C50872">
        <w:t>-</w:t>
      </w:r>
      <w:r>
        <w:t xml:space="preserve">cancerous responses.  The incorporation of two separate toxic endpoints is the </w:t>
      </w:r>
      <w:r w:rsidR="00A837ED">
        <w:t xml:space="preserve">most </w:t>
      </w:r>
      <w:r>
        <w:t xml:space="preserve">defensible method and basis for the </w:t>
      </w:r>
      <w:r w:rsidR="00AB03D1">
        <w:rPr>
          <w:i/>
        </w:rPr>
        <w:t>T</w:t>
      </w:r>
      <w:r w:rsidRPr="00AB03D1">
        <w:rPr>
          <w:i/>
        </w:rPr>
        <w:t>oxicity</w:t>
      </w:r>
      <w:r>
        <w:t xml:space="preserve"> factor and its effective incorporation into the cost allocation process.  Previous cost allocation schemes which incorporated the </w:t>
      </w:r>
      <w:r w:rsidRPr="00A4516A">
        <w:rPr>
          <w:i/>
        </w:rPr>
        <w:t xml:space="preserve">Toxicity </w:t>
      </w:r>
      <w:r w:rsidR="00AD49B6">
        <w:t>f</w:t>
      </w:r>
      <w:r w:rsidRPr="00AD49B6">
        <w:t xml:space="preserve">actor </w:t>
      </w:r>
      <w:r>
        <w:t xml:space="preserve">have relied on poorly defined toxic responses and a fundamentally flawed relative toxicity approach which did not segregate for endpoint response.  </w:t>
      </w:r>
    </w:p>
    <w:p w:rsidR="00D62C8C" w:rsidRDefault="00D62C8C" w:rsidP="00234F92">
      <w:pPr>
        <w:spacing w:after="120" w:line="240" w:lineRule="auto"/>
      </w:pPr>
      <w:r>
        <w:t xml:space="preserve">Hazard refers specifically to toxic responses other than cancer.  These responses are assumed to be additive, until </w:t>
      </w:r>
      <w:r w:rsidR="00AB03D1">
        <w:t>a hazard equivalent to unity</w:t>
      </w:r>
      <w:r>
        <w:t xml:space="preserve"> is exceeded, and then individual, constituent-specific hazards may be segregated based on </w:t>
      </w:r>
      <w:r w:rsidR="00A4516A">
        <w:t xml:space="preserve">the </w:t>
      </w:r>
      <w:r>
        <w:t xml:space="preserve">target organ system or elicited effect.  Risk, although commonly used to indicate the total set of possible responses, refers specifically to carcinogenicity and quantitative carcinogenic response.  All carcinogenic responses are </w:t>
      </w:r>
      <w:r w:rsidR="00A4516A">
        <w:t xml:space="preserve">also </w:t>
      </w:r>
      <w:r>
        <w:t xml:space="preserve">assumed to be additive. </w:t>
      </w:r>
    </w:p>
    <w:p w:rsidR="00D62C8C" w:rsidRDefault="00D62C8C" w:rsidP="00234F92">
      <w:pPr>
        <w:spacing w:after="120" w:line="240" w:lineRule="auto"/>
      </w:pPr>
      <w:r>
        <w:t>Contaminants may have both carcinogenic and non</w:t>
      </w:r>
      <w:r w:rsidR="00C50872">
        <w:t>-</w:t>
      </w:r>
      <w:r>
        <w:t xml:space="preserve">carcinogenic responses, though usually one response or the other is the leading cause for concern – and thus, </w:t>
      </w:r>
      <w:r w:rsidR="009A425D">
        <w:t xml:space="preserve">the </w:t>
      </w:r>
      <w:r>
        <w:t>basis for decision-making.</w:t>
      </w:r>
      <w:r w:rsidR="00A837ED">
        <w:t xml:space="preserve"> </w:t>
      </w:r>
      <w:r w:rsidR="009A425D">
        <w:t xml:space="preserve"> </w:t>
      </w:r>
      <w:r>
        <w:t xml:space="preserve">In order to effectively incorporate a quantitative approach into </w:t>
      </w:r>
      <w:r w:rsidR="00A4516A">
        <w:t>a</w:t>
      </w:r>
      <w:r>
        <w:t xml:space="preserve"> cost allocation scheme, an understanding of the nature and extent of the contamination at issue is necessary.  The following approach assumes the availability of a defensible dataset capable of defining nature and extent of contamination at a given site.  </w:t>
      </w:r>
    </w:p>
    <w:p w:rsidR="00E35068" w:rsidRDefault="00D62C8C" w:rsidP="00234F92">
      <w:pPr>
        <w:spacing w:after="120" w:line="240" w:lineRule="auto"/>
      </w:pPr>
      <w:r>
        <w:t xml:space="preserve">In risk assessment, to form a defensible basis for risk and site management decisions, the process needs to be appropriately skewed toward the conservative end of the spectrum in order to combat inherent uncertainty and variability in the protection of public health.  To that end, exposure parameter values represent a mix of upper-bound and central tendency estimates such that it is unlikely that actual incurred exposures will have the capacity to exceed the resulting quantitative point estimates of risk and hazard.  </w:t>
      </w:r>
    </w:p>
    <w:p w:rsidR="00D62C8C" w:rsidRDefault="00D62C8C" w:rsidP="00234F92">
      <w:pPr>
        <w:spacing w:after="120" w:line="240" w:lineRule="auto"/>
      </w:pPr>
      <w:r>
        <w:t>Conservative, default-based screening criteria are generally available for gross exposure comparisons from US</w:t>
      </w:r>
      <w:r w:rsidR="009A425D">
        <w:t xml:space="preserve"> </w:t>
      </w:r>
      <w:r>
        <w:t xml:space="preserve">EPA and most state programs.  For the purposes of this example, we have utilized generic, health-based screening criteria applicable across the country and tailored to residential adult and child exposure to </w:t>
      </w:r>
      <w:r w:rsidR="009A425D">
        <w:t xml:space="preserve">contaminated soil, groundwater </w:t>
      </w:r>
      <w:r>
        <w:t>and air</w:t>
      </w:r>
      <w:r w:rsidR="009A425D">
        <w:t>,</w:t>
      </w:r>
      <w:r>
        <w:t xml:space="preserve"> as well as generic routine industrial worker exposure to contaminated soil and air.  These consistent, health-based screening criteria address the exposure routes predominantly associated with significant complete exposure pathways, including incidental ingestion, inhalation of volatiles and particulates, and dermal absorption.  In the absence of site-specific information about potential receptor populations and land use activities, these screening criteria are appropriate </w:t>
      </w:r>
      <w:r w:rsidR="00E35068">
        <w:t>for</w:t>
      </w:r>
      <w:r>
        <w:t xml:space="preserve"> initial comparative assessment</w:t>
      </w:r>
      <w:r w:rsidR="00E35068">
        <w:t>s</w:t>
      </w:r>
      <w:r>
        <w:t xml:space="preserve">.  </w:t>
      </w:r>
    </w:p>
    <w:p w:rsidR="00D62C8C" w:rsidRDefault="00D62C8C" w:rsidP="00234F92">
      <w:pPr>
        <w:spacing w:after="120" w:line="240" w:lineRule="auto"/>
      </w:pPr>
      <w:r>
        <w:t>To maintain an effective conservative bias in risk assessment, the exposure point concentration (EPC) or concentration receptor populations are assumed to be exposed to, is typically based on an upper-bound estimat</w:t>
      </w:r>
      <w:r w:rsidR="009A425D">
        <w:t>e of the mean – usually, the 95 percent</w:t>
      </w:r>
      <w:r>
        <w:t xml:space="preserve"> upper confidence limit (95UCL).  For small datasets, or datasets with significant inherent variability, this descriptor can exceed the maximum detected concentration (MDC), forcing risk assessors to use the MDC as the effective EPC.  In most cases, though, utilizing non</w:t>
      </w:r>
      <w:r w:rsidR="009A425D">
        <w:t>-</w:t>
      </w:r>
      <w:r>
        <w:t>parametric statistical tests, a defensible estimate of the mean can be developed.  As variability within the dataset decreases, the 95UCL approaches the true mean.  Because cost allocation does not need to enlist the same degree of specificity and conservatism (we are not developing cleanup goals, but rather a ratio or relationship between separate entities degrees of culpability) the arithmetic mean is sufficient for comparative purposes.  For all following discussions of EPCs, this parameter is represented by the arithmetic mean of a given dataset.</w:t>
      </w:r>
    </w:p>
    <w:p w:rsidR="00D62C8C" w:rsidRDefault="00D62C8C" w:rsidP="00234F92">
      <w:pPr>
        <w:spacing w:after="120" w:line="240" w:lineRule="auto"/>
      </w:pPr>
      <w:r>
        <w:t xml:space="preserve">For total risk estimates at or below 1E-06, there is no assumed impetus for corrective action.  For risks </w:t>
      </w:r>
      <w:r w:rsidR="00FD480B">
        <w:t xml:space="preserve">defined </w:t>
      </w:r>
      <w:r>
        <w:t xml:space="preserve">within the </w:t>
      </w:r>
      <w:r w:rsidR="00FD480B" w:rsidRPr="00FD480B">
        <w:t>National Oil and</w:t>
      </w:r>
      <w:r w:rsidR="00FD480B">
        <w:t xml:space="preserve"> </w:t>
      </w:r>
      <w:r w:rsidR="00FD480B" w:rsidRPr="00FD480B">
        <w:t>Hazardous Substances Pollution Contingency Plan</w:t>
      </w:r>
      <w:r w:rsidR="00FD480B">
        <w:t>’s (</w:t>
      </w:r>
      <w:r>
        <w:t>NCP</w:t>
      </w:r>
      <w:r w:rsidR="00234F92">
        <w:t>’s</w:t>
      </w:r>
      <w:r w:rsidR="00FD480B">
        <w:t xml:space="preserve">) </w:t>
      </w:r>
      <w:r>
        <w:t xml:space="preserve">Relative Risk Range </w:t>
      </w:r>
      <w:r>
        <w:lastRenderedPageBreak/>
        <w:t>(RRR), 1E-06 to 1E-04 (one-in-</w:t>
      </w:r>
      <w:r w:rsidR="009A425D">
        <w:t>1</w:t>
      </w:r>
      <w:r>
        <w:t xml:space="preserve"> million to one-in-</w:t>
      </w:r>
      <w:r w:rsidR="009A425D">
        <w:t xml:space="preserve">10,000 </w:t>
      </w:r>
      <w:r w:rsidR="00234F92">
        <w:t xml:space="preserve">excess lifetime cancer cases), </w:t>
      </w:r>
      <w:r>
        <w:t>there is typically not a corrective action advanced, unless a sensitive subpopulation is in jeopardy, or the risk assessment is judged to have an unsupportable level of inherent uncertainty or paucity of excess conservatism.  These judgments must be m</w:t>
      </w:r>
      <w:r w:rsidR="009A425D">
        <w:t>ade by a qualified toxicologist</w:t>
      </w:r>
      <w:r>
        <w:t xml:space="preserve"> familiar with the risk assessment process.  For quantitative point estimates of risk in excess of 1E-04, a corrective action/remedial response is generally indicated.</w:t>
      </w:r>
    </w:p>
    <w:p w:rsidR="00D62C8C" w:rsidRDefault="00D62C8C" w:rsidP="00234F92">
      <w:pPr>
        <w:spacing w:after="120" w:line="240" w:lineRule="auto"/>
      </w:pPr>
      <w:r>
        <w:t>While development of cancer risk is assumed to follow an additive, linear relationship (i.e., a mean cancer risk at 1E-05 is ten times more significant than a cancer risk at 1E-06), this is not the same paradigm in an assessment of hazard.  For hazard quotients which exceed one, a corrective action may be indicated.  However, the relationship between hazard estimate and potential onset of toxic response is not a simple linear one.  This means that a hazard quotient of 10 doe</w:t>
      </w:r>
      <w:r w:rsidR="00DA70D4">
        <w:t>s not necessarily indicate a 10</w:t>
      </w:r>
      <w:r>
        <w:t>-times more serious response than a hazard quotient of one.  Depending on the degree of excess conservatism under</w:t>
      </w:r>
      <w:r w:rsidR="00234F92">
        <w:t>pinning the hazard estimate,</w:t>
      </w:r>
      <w:r>
        <w:t xml:space="preserve"> US</w:t>
      </w:r>
      <w:r w:rsidR="009A425D">
        <w:t xml:space="preserve"> </w:t>
      </w:r>
      <w:r>
        <w:t xml:space="preserve">EPA may </w:t>
      </w:r>
      <w:r w:rsidR="009A425D">
        <w:t xml:space="preserve">not routinely </w:t>
      </w:r>
      <w:r>
        <w:t>take action</w:t>
      </w:r>
      <w:r w:rsidR="00234F92">
        <w:t xml:space="preserve"> for</w:t>
      </w:r>
      <w:r w:rsidR="00DA70D4">
        <w:t xml:space="preserve"> hazards less than three, </w:t>
      </w:r>
      <w:r>
        <w:t>and may not take action at levels higher than this (US</w:t>
      </w:r>
      <w:r w:rsidR="009A425D">
        <w:t xml:space="preserve"> </w:t>
      </w:r>
      <w:r>
        <w:t xml:space="preserve">EPA’s Removal Action Levels, 2010).  For the purposes of this exercise, actionable levels are assumed </w:t>
      </w:r>
      <w:r w:rsidR="00234F92">
        <w:t xml:space="preserve">to be </w:t>
      </w:r>
      <w:r>
        <w:t>indicated at</w:t>
      </w:r>
      <w:r w:rsidR="00DA70D4">
        <w:t xml:space="preserve"> hazard quotients greater than one</w:t>
      </w:r>
      <w:r>
        <w:t>.</w:t>
      </w:r>
    </w:p>
    <w:p w:rsidR="00D62C8C" w:rsidRDefault="00D62C8C" w:rsidP="00234F92">
      <w:pPr>
        <w:spacing w:after="120" w:line="240" w:lineRule="auto"/>
      </w:pPr>
      <w:r>
        <w:t xml:space="preserve">Where risk estimates for individual contaminants exceed the </w:t>
      </w:r>
      <w:r w:rsidRPr="00C22E7F">
        <w:rPr>
          <w:i/>
        </w:rPr>
        <w:t xml:space="preserve">de </w:t>
      </w:r>
      <w:proofErr w:type="spellStart"/>
      <w:r w:rsidRPr="00C22E7F">
        <w:rPr>
          <w:i/>
        </w:rPr>
        <w:t>minimis</w:t>
      </w:r>
      <w:proofErr w:type="spellEnd"/>
      <w:r>
        <w:t xml:space="preserve"> point of departure (i.e., 1E-06), the </w:t>
      </w:r>
      <w:r w:rsidRPr="00E35068">
        <w:rPr>
          <w:i/>
        </w:rPr>
        <w:t xml:space="preserve">Toxicity </w:t>
      </w:r>
      <w:r w:rsidR="00DA70D4">
        <w:t>f</w:t>
      </w:r>
      <w:r w:rsidRPr="00DA70D4">
        <w:t xml:space="preserve">actor </w:t>
      </w:r>
      <w:r>
        <w:t>may be multiplied by total contaminant mass (</w:t>
      </w:r>
      <w:r w:rsidRPr="00E35068">
        <w:rPr>
          <w:i/>
        </w:rPr>
        <w:t xml:space="preserve">Amount </w:t>
      </w:r>
      <w:r w:rsidR="00DA70D4">
        <w:t>f</w:t>
      </w:r>
      <w:r w:rsidRPr="00DA70D4">
        <w:t>actor</w:t>
      </w:r>
      <w:r>
        <w:t xml:space="preserve">) contributed to develop a metric for cost allocation.  Similarly, where hazard estimates for individual contaminants exceed </w:t>
      </w:r>
      <w:r w:rsidR="00DA70D4">
        <w:t>one</w:t>
      </w:r>
      <w:r>
        <w:t>, a second metric for cost allocation related to non</w:t>
      </w:r>
      <w:r w:rsidR="00DA70D4">
        <w:t>-</w:t>
      </w:r>
      <w:r>
        <w:t xml:space="preserve">carcinogens can be developed.  These assessments are </w:t>
      </w:r>
      <w:r w:rsidR="00E35068">
        <w:t>based</w:t>
      </w:r>
      <w:r>
        <w:t xml:space="preserve"> on defensible estimates of the potential for diverse health effects.    </w:t>
      </w:r>
    </w:p>
    <w:p w:rsidR="00D62C8C" w:rsidRPr="006831D6" w:rsidRDefault="00D62C8C" w:rsidP="00234F92">
      <w:pPr>
        <w:spacing w:after="120" w:line="240" w:lineRule="auto"/>
        <w:rPr>
          <w:b/>
        </w:rPr>
      </w:pPr>
      <w:r w:rsidRPr="006831D6">
        <w:rPr>
          <w:b/>
        </w:rPr>
        <w:t>Practical Application</w:t>
      </w:r>
    </w:p>
    <w:p w:rsidR="00D62C8C" w:rsidRDefault="006D6664" w:rsidP="00234F92">
      <w:pPr>
        <w:spacing w:after="120" w:line="240" w:lineRule="auto"/>
      </w:pPr>
      <w:r>
        <w:t>The</w:t>
      </w:r>
      <w:r w:rsidR="00D62C8C">
        <w:t xml:space="preserve"> comparative example </w:t>
      </w:r>
      <w:r>
        <w:t xml:space="preserve">presented in Table 1 </w:t>
      </w:r>
      <w:r w:rsidR="00DA70D4">
        <w:t xml:space="preserve">below </w:t>
      </w:r>
      <w:r>
        <w:t xml:space="preserve">shows the radically different results obtained from </w:t>
      </w:r>
      <w:r w:rsidR="00D62C8C">
        <w:t>two approaches in application of cost allocation</w:t>
      </w:r>
      <w:r>
        <w:t xml:space="preserve"> using</w:t>
      </w:r>
      <w:r w:rsidR="00D62C8C">
        <w:t>:</w:t>
      </w:r>
      <w:r w:rsidR="00DA70D4">
        <w:t xml:space="preserve"> </w:t>
      </w:r>
      <w:r w:rsidR="00D62C8C">
        <w:t xml:space="preserve"> 1) </w:t>
      </w:r>
      <w:r>
        <w:t xml:space="preserve">a </w:t>
      </w:r>
      <w:r w:rsidR="00D62C8C">
        <w:t xml:space="preserve">traditional consideration of state-mandated clean-up criteria, and 2) application of </w:t>
      </w:r>
      <w:r w:rsidR="00E35068">
        <w:t>the TAP</w:t>
      </w:r>
      <w:r w:rsidR="00D62C8C">
        <w:t xml:space="preserve"> approach predicted on the probabilities of adverse health effects</w:t>
      </w:r>
      <w:r w:rsidR="00E35068">
        <w:t>, as discussed above</w:t>
      </w:r>
      <w:r w:rsidR="00D62C8C">
        <w:t xml:space="preserve">.  For the purposes of clarity, the </w:t>
      </w:r>
      <w:r>
        <w:t xml:space="preserve">example </w:t>
      </w:r>
      <w:r w:rsidR="00D62C8C">
        <w:t xml:space="preserve">assessment has been truncated to an evaluation of soil with a proposed unrestricted land use option for reuse, limited to human health endpoints (no consideration for ecological impacts or sensitive environments).  </w:t>
      </w:r>
      <w:r w:rsidR="00E35068">
        <w:t>In this scenario, t</w:t>
      </w:r>
      <w:r w:rsidR="00D62C8C">
        <w:t xml:space="preserve">he </w:t>
      </w:r>
      <w:r w:rsidR="00DA70D4">
        <w:t>s</w:t>
      </w:r>
      <w:r w:rsidR="00D62C8C">
        <w:t xml:space="preserve">tate compliance program allows for a risk-based approach in the assessment of potential for adverse effect.  </w:t>
      </w:r>
      <w:r>
        <w:t xml:space="preserve">The site contaminants of concern include heavy metals, chlorinated solvents, and </w:t>
      </w:r>
      <w:proofErr w:type="spellStart"/>
      <w:r>
        <w:t>polynuclear</w:t>
      </w:r>
      <w:proofErr w:type="spellEnd"/>
      <w:r>
        <w:t xml:space="preserve"> aromatic hydrocarbons (PAHs)</w:t>
      </w:r>
      <w:r w:rsidR="00351392">
        <w:t xml:space="preserve">, </w:t>
      </w:r>
      <w:r w:rsidR="00763C74">
        <w:t>as noted in Table 1</w:t>
      </w:r>
      <w:r>
        <w:t>.</w:t>
      </w:r>
    </w:p>
    <w:p w:rsidR="006D6664" w:rsidRPr="006D6664" w:rsidRDefault="006D6664" w:rsidP="00234F92">
      <w:pPr>
        <w:spacing w:after="120" w:line="240" w:lineRule="auto"/>
        <w:rPr>
          <w:b/>
        </w:rPr>
      </w:pPr>
      <w:r w:rsidRPr="006D6664">
        <w:rPr>
          <w:b/>
        </w:rPr>
        <w:t>Table 1: Comparative Example</w:t>
      </w:r>
    </w:p>
    <w:tbl>
      <w:tblPr>
        <w:tblW w:w="8539" w:type="dxa"/>
        <w:jc w:val="center"/>
        <w:tblInd w:w="-1213" w:type="dxa"/>
        <w:tblLook w:val="04A0" w:firstRow="1" w:lastRow="0" w:firstColumn="1" w:lastColumn="0" w:noHBand="0" w:noVBand="1"/>
      </w:tblPr>
      <w:tblGrid>
        <w:gridCol w:w="2497"/>
        <w:gridCol w:w="2492"/>
        <w:gridCol w:w="1660"/>
        <w:gridCol w:w="1890"/>
      </w:tblGrid>
      <w:tr w:rsidR="00872FBF" w:rsidRPr="006D6664" w:rsidTr="00872FBF">
        <w:trPr>
          <w:trHeight w:val="1230"/>
          <w:jc w:val="center"/>
        </w:trPr>
        <w:tc>
          <w:tcPr>
            <w:tcW w:w="249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72FBF" w:rsidRPr="006D6664" w:rsidRDefault="00872FBF" w:rsidP="00234F92">
            <w:pPr>
              <w:spacing w:after="0" w:line="240" w:lineRule="auto"/>
              <w:jc w:val="center"/>
              <w:rPr>
                <w:rFonts w:ascii="Arial" w:eastAsia="Times New Roman" w:hAnsi="Arial" w:cs="Arial"/>
                <w:b/>
                <w:bCs/>
                <w:color w:val="000000"/>
                <w:sz w:val="18"/>
                <w:szCs w:val="18"/>
              </w:rPr>
            </w:pPr>
            <w:bookmarkStart w:id="1" w:name="RANGE!B5:J30"/>
            <w:r w:rsidRPr="006D6664">
              <w:rPr>
                <w:rFonts w:ascii="Arial" w:eastAsia="Times New Roman" w:hAnsi="Arial" w:cs="Arial"/>
                <w:b/>
                <w:bCs/>
                <w:color w:val="000000"/>
                <w:sz w:val="18"/>
                <w:szCs w:val="18"/>
              </w:rPr>
              <w:t>Chemical</w:t>
            </w:r>
            <w:bookmarkEnd w:id="1"/>
          </w:p>
        </w:tc>
        <w:tc>
          <w:tcPr>
            <w:tcW w:w="2492" w:type="dxa"/>
            <w:tcBorders>
              <w:top w:val="single" w:sz="12" w:space="0" w:color="auto"/>
              <w:left w:val="nil"/>
              <w:bottom w:val="single" w:sz="12" w:space="0" w:color="auto"/>
              <w:right w:val="single" w:sz="12" w:space="0" w:color="auto"/>
            </w:tcBorders>
            <w:shd w:val="clear" w:color="auto" w:fill="auto"/>
            <w:vAlign w:val="center"/>
            <w:hideMark/>
          </w:tcPr>
          <w:p w:rsidR="00872FBF" w:rsidRPr="006D6664" w:rsidRDefault="00872FBF" w:rsidP="00234F92">
            <w:pPr>
              <w:spacing w:after="0" w:line="240" w:lineRule="auto"/>
              <w:jc w:val="center"/>
              <w:rPr>
                <w:rFonts w:ascii="Arial" w:eastAsia="Times New Roman" w:hAnsi="Arial" w:cs="Arial"/>
                <w:b/>
                <w:bCs/>
                <w:color w:val="000000"/>
                <w:sz w:val="18"/>
                <w:szCs w:val="18"/>
              </w:rPr>
            </w:pPr>
            <w:r w:rsidRPr="006D6664">
              <w:rPr>
                <w:rFonts w:ascii="Arial" w:eastAsia="Times New Roman" w:hAnsi="Arial" w:cs="Arial"/>
                <w:b/>
                <w:bCs/>
                <w:color w:val="000000"/>
                <w:sz w:val="18"/>
                <w:szCs w:val="18"/>
              </w:rPr>
              <w:t>State Program-Based Allocation (%)</w:t>
            </w:r>
          </w:p>
        </w:tc>
        <w:tc>
          <w:tcPr>
            <w:tcW w:w="1660" w:type="dxa"/>
            <w:tcBorders>
              <w:top w:val="single" w:sz="12" w:space="0" w:color="auto"/>
              <w:left w:val="nil"/>
              <w:bottom w:val="single" w:sz="12" w:space="0" w:color="auto"/>
              <w:right w:val="single" w:sz="12" w:space="0" w:color="auto"/>
            </w:tcBorders>
            <w:shd w:val="clear" w:color="auto" w:fill="auto"/>
            <w:vAlign w:val="center"/>
            <w:hideMark/>
          </w:tcPr>
          <w:p w:rsidR="00872FBF" w:rsidRPr="006D6664" w:rsidRDefault="00872FBF" w:rsidP="00234F92">
            <w:pPr>
              <w:spacing w:after="0" w:line="240" w:lineRule="auto"/>
              <w:jc w:val="center"/>
              <w:rPr>
                <w:rFonts w:ascii="Arial" w:eastAsia="Times New Roman" w:hAnsi="Arial" w:cs="Arial"/>
                <w:b/>
                <w:bCs/>
                <w:color w:val="000000"/>
                <w:sz w:val="18"/>
                <w:szCs w:val="18"/>
              </w:rPr>
            </w:pPr>
            <w:r w:rsidRPr="006D6664">
              <w:rPr>
                <w:rFonts w:ascii="Arial" w:eastAsia="Times New Roman" w:hAnsi="Arial" w:cs="Arial"/>
                <w:b/>
                <w:bCs/>
                <w:color w:val="000000"/>
                <w:sz w:val="18"/>
                <w:szCs w:val="18"/>
              </w:rPr>
              <w:t>TAP Risk-Based Allocation (%)</w:t>
            </w:r>
          </w:p>
        </w:tc>
        <w:tc>
          <w:tcPr>
            <w:tcW w:w="1890" w:type="dxa"/>
            <w:tcBorders>
              <w:top w:val="single" w:sz="12" w:space="0" w:color="auto"/>
              <w:left w:val="nil"/>
              <w:bottom w:val="single" w:sz="12" w:space="0" w:color="auto"/>
              <w:right w:val="single" w:sz="12" w:space="0" w:color="auto"/>
            </w:tcBorders>
            <w:shd w:val="clear" w:color="auto" w:fill="auto"/>
            <w:vAlign w:val="center"/>
            <w:hideMark/>
          </w:tcPr>
          <w:p w:rsidR="00872FBF" w:rsidRPr="006D6664" w:rsidRDefault="00872FBF" w:rsidP="00234F92">
            <w:pPr>
              <w:spacing w:after="0" w:line="240" w:lineRule="auto"/>
              <w:jc w:val="center"/>
              <w:rPr>
                <w:rFonts w:ascii="Arial" w:eastAsia="Times New Roman" w:hAnsi="Arial" w:cs="Arial"/>
                <w:b/>
                <w:bCs/>
                <w:color w:val="000000"/>
                <w:sz w:val="18"/>
                <w:szCs w:val="18"/>
              </w:rPr>
            </w:pPr>
            <w:r w:rsidRPr="006D6664">
              <w:rPr>
                <w:rFonts w:ascii="Arial" w:eastAsia="Times New Roman" w:hAnsi="Arial" w:cs="Arial"/>
                <w:b/>
                <w:bCs/>
                <w:color w:val="000000"/>
                <w:sz w:val="18"/>
                <w:szCs w:val="18"/>
              </w:rPr>
              <w:t>TAP Hazard-Based Allocation (%)</w:t>
            </w:r>
          </w:p>
        </w:tc>
      </w:tr>
      <w:tr w:rsidR="00872FBF" w:rsidRPr="006D6664" w:rsidTr="00872FBF">
        <w:trPr>
          <w:trHeight w:val="315"/>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Zinc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5.58%</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0.05%</w:t>
            </w:r>
          </w:p>
        </w:tc>
      </w:tr>
      <w:tr w:rsidR="00872FBF" w:rsidRPr="006D6664" w:rsidTr="00872FBF">
        <w:trPr>
          <w:trHeight w:val="300"/>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Mercury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5.53%</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1.13%</w:t>
            </w:r>
          </w:p>
        </w:tc>
      </w:tr>
      <w:tr w:rsidR="00872FBF" w:rsidRPr="006D6664" w:rsidTr="00872FBF">
        <w:trPr>
          <w:trHeight w:val="300"/>
          <w:jc w:val="center"/>
        </w:trPr>
        <w:tc>
          <w:tcPr>
            <w:tcW w:w="2497" w:type="dxa"/>
            <w:tcBorders>
              <w:top w:val="nil"/>
              <w:left w:val="single" w:sz="12" w:space="0" w:color="auto"/>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Tr</w:t>
            </w:r>
            <w:r>
              <w:rPr>
                <w:rFonts w:ascii="Arial" w:eastAsia="Times New Roman" w:hAnsi="Arial" w:cs="Arial"/>
                <w:color w:val="000000"/>
                <w:sz w:val="18"/>
                <w:szCs w:val="18"/>
              </w:rPr>
              <w:t>i</w:t>
            </w:r>
            <w:r w:rsidRPr="006D6664">
              <w:rPr>
                <w:rFonts w:ascii="Arial" w:eastAsia="Times New Roman" w:hAnsi="Arial" w:cs="Arial"/>
                <w:color w:val="000000"/>
                <w:sz w:val="18"/>
                <w:szCs w:val="18"/>
              </w:rPr>
              <w:t>chlorobenzene</w:t>
            </w:r>
            <w:proofErr w:type="spellEnd"/>
            <w:r w:rsidRPr="006D6664">
              <w:rPr>
                <w:rFonts w:ascii="Arial" w:eastAsia="Times New Roman" w:hAnsi="Arial" w:cs="Arial"/>
                <w:color w:val="000000"/>
                <w:sz w:val="18"/>
                <w:szCs w:val="18"/>
              </w:rPr>
              <w:t>, 1,2,4- (c)</w:t>
            </w:r>
          </w:p>
        </w:tc>
        <w:tc>
          <w:tcPr>
            <w:tcW w:w="2492"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4.25%</w:t>
            </w:r>
          </w:p>
        </w:tc>
        <w:tc>
          <w:tcPr>
            <w:tcW w:w="1660"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9.68%</w:t>
            </w:r>
          </w:p>
        </w:tc>
        <w:tc>
          <w:tcPr>
            <w:tcW w:w="1890" w:type="dxa"/>
            <w:tcBorders>
              <w:top w:val="nil"/>
              <w:left w:val="nil"/>
              <w:bottom w:val="single" w:sz="4" w:space="0" w:color="auto"/>
              <w:right w:val="single" w:sz="12"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sz w:val="18"/>
                <w:szCs w:val="18"/>
              </w:rPr>
            </w:pPr>
            <w:proofErr w:type="spellStart"/>
            <w:r w:rsidRPr="006D6664">
              <w:rPr>
                <w:rFonts w:ascii="Arial" w:eastAsia="Times New Roman" w:hAnsi="Arial" w:cs="Arial"/>
                <w:sz w:val="18"/>
                <w:szCs w:val="18"/>
              </w:rPr>
              <w:t>na</w:t>
            </w:r>
            <w:proofErr w:type="spellEnd"/>
          </w:p>
        </w:tc>
      </w:tr>
      <w:tr w:rsidR="00872FBF" w:rsidRPr="006D6664" w:rsidTr="00872FBF">
        <w:trPr>
          <w:trHeight w:val="300"/>
          <w:jc w:val="center"/>
        </w:trPr>
        <w:tc>
          <w:tcPr>
            <w:tcW w:w="2497" w:type="dxa"/>
            <w:tcBorders>
              <w:top w:val="nil"/>
              <w:left w:val="single" w:sz="12" w:space="0" w:color="auto"/>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Benzene (c)</w:t>
            </w:r>
          </w:p>
        </w:tc>
        <w:tc>
          <w:tcPr>
            <w:tcW w:w="2492"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75.26%</w:t>
            </w:r>
          </w:p>
        </w:tc>
        <w:tc>
          <w:tcPr>
            <w:tcW w:w="1660"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4.90%</w:t>
            </w:r>
          </w:p>
        </w:tc>
        <w:tc>
          <w:tcPr>
            <w:tcW w:w="1890" w:type="dxa"/>
            <w:tcBorders>
              <w:top w:val="nil"/>
              <w:left w:val="nil"/>
              <w:bottom w:val="single" w:sz="4" w:space="0" w:color="auto"/>
              <w:right w:val="single" w:sz="12"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sz w:val="18"/>
                <w:szCs w:val="18"/>
              </w:rPr>
            </w:pPr>
            <w:proofErr w:type="spellStart"/>
            <w:r w:rsidRPr="006D6664">
              <w:rPr>
                <w:rFonts w:ascii="Arial" w:eastAsia="Times New Roman" w:hAnsi="Arial" w:cs="Arial"/>
                <w:sz w:val="18"/>
                <w:szCs w:val="18"/>
              </w:rPr>
              <w:t>na</w:t>
            </w:r>
            <w:proofErr w:type="spellEnd"/>
          </w:p>
        </w:tc>
      </w:tr>
      <w:tr w:rsidR="00872FBF" w:rsidRPr="006D6664" w:rsidTr="00872FBF">
        <w:trPr>
          <w:trHeight w:val="285"/>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Dichlorobenzene, 1,2-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1.61%</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0.08%</w:t>
            </w:r>
          </w:p>
        </w:tc>
      </w:tr>
      <w:tr w:rsidR="00872FBF" w:rsidRPr="006D6664" w:rsidTr="00872FBF">
        <w:trPr>
          <w:trHeight w:val="300"/>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Chlorobenzene</w:t>
            </w:r>
            <w:proofErr w:type="spellEnd"/>
            <w:r w:rsidRPr="006D6664">
              <w:rPr>
                <w:rFonts w:ascii="Arial" w:eastAsia="Times New Roman" w:hAnsi="Arial" w:cs="Arial"/>
                <w:color w:val="000000"/>
                <w:sz w:val="18"/>
                <w:szCs w:val="18"/>
              </w:rPr>
              <w:t xml:space="preserve">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1.46%</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0.12%</w:t>
            </w:r>
          </w:p>
        </w:tc>
      </w:tr>
      <w:tr w:rsidR="00872FBF" w:rsidRPr="006D6664" w:rsidTr="00872FBF">
        <w:trPr>
          <w:trHeight w:val="300"/>
          <w:jc w:val="center"/>
        </w:trPr>
        <w:tc>
          <w:tcPr>
            <w:tcW w:w="2497" w:type="dxa"/>
            <w:tcBorders>
              <w:top w:val="nil"/>
              <w:left w:val="single" w:sz="12" w:space="0" w:color="auto"/>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Dibenz</w:t>
            </w:r>
            <w:proofErr w:type="spellEnd"/>
            <w:r w:rsidRPr="006D6664">
              <w:rPr>
                <w:rFonts w:ascii="Arial" w:eastAsia="Times New Roman" w:hAnsi="Arial" w:cs="Arial"/>
                <w:color w:val="000000"/>
                <w:sz w:val="18"/>
                <w:szCs w:val="18"/>
              </w:rPr>
              <w:t>(</w:t>
            </w:r>
            <w:proofErr w:type="spellStart"/>
            <w:r w:rsidRPr="006D6664">
              <w:rPr>
                <w:rFonts w:ascii="Arial" w:eastAsia="Times New Roman" w:hAnsi="Arial" w:cs="Arial"/>
                <w:color w:val="000000"/>
                <w:sz w:val="18"/>
                <w:szCs w:val="18"/>
              </w:rPr>
              <w:t>a,h</w:t>
            </w:r>
            <w:proofErr w:type="spellEnd"/>
            <w:r w:rsidRPr="006D6664">
              <w:rPr>
                <w:rFonts w:ascii="Arial" w:eastAsia="Times New Roman" w:hAnsi="Arial" w:cs="Arial"/>
                <w:color w:val="000000"/>
                <w:sz w:val="18"/>
                <w:szCs w:val="18"/>
              </w:rPr>
              <w:t>)</w:t>
            </w:r>
            <w:proofErr w:type="spellStart"/>
            <w:r w:rsidRPr="006D6664">
              <w:rPr>
                <w:rFonts w:ascii="Arial" w:eastAsia="Times New Roman" w:hAnsi="Arial" w:cs="Arial"/>
                <w:color w:val="000000"/>
                <w:sz w:val="18"/>
                <w:szCs w:val="18"/>
              </w:rPr>
              <w:t>anthracene</w:t>
            </w:r>
            <w:proofErr w:type="spellEnd"/>
            <w:r w:rsidRPr="006D6664">
              <w:rPr>
                <w:rFonts w:ascii="Arial" w:eastAsia="Times New Roman" w:hAnsi="Arial" w:cs="Arial"/>
                <w:color w:val="000000"/>
                <w:sz w:val="18"/>
                <w:szCs w:val="18"/>
              </w:rPr>
              <w:t xml:space="preserve"> (c)</w:t>
            </w:r>
          </w:p>
        </w:tc>
        <w:tc>
          <w:tcPr>
            <w:tcW w:w="2492"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0.90%</w:t>
            </w:r>
          </w:p>
        </w:tc>
        <w:tc>
          <w:tcPr>
            <w:tcW w:w="1660"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12.89%</w:t>
            </w:r>
          </w:p>
        </w:tc>
        <w:tc>
          <w:tcPr>
            <w:tcW w:w="1890" w:type="dxa"/>
            <w:tcBorders>
              <w:top w:val="nil"/>
              <w:left w:val="nil"/>
              <w:bottom w:val="single" w:sz="4" w:space="0" w:color="auto"/>
              <w:right w:val="single" w:sz="12"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sz w:val="18"/>
                <w:szCs w:val="18"/>
              </w:rPr>
            </w:pPr>
            <w:proofErr w:type="spellStart"/>
            <w:r w:rsidRPr="006D6664">
              <w:rPr>
                <w:rFonts w:ascii="Arial" w:eastAsia="Times New Roman" w:hAnsi="Arial" w:cs="Arial"/>
                <w:sz w:val="18"/>
                <w:szCs w:val="18"/>
              </w:rPr>
              <w:t>na</w:t>
            </w:r>
            <w:proofErr w:type="spellEnd"/>
          </w:p>
        </w:tc>
      </w:tr>
      <w:tr w:rsidR="00872FBF" w:rsidRPr="006D6664" w:rsidTr="00872FBF">
        <w:trPr>
          <w:trHeight w:val="300"/>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Trichlorobenzene</w:t>
            </w:r>
            <w:proofErr w:type="spellEnd"/>
            <w:r w:rsidRPr="006D6664">
              <w:rPr>
                <w:rFonts w:ascii="Arial" w:eastAsia="Times New Roman" w:hAnsi="Arial" w:cs="Arial"/>
                <w:color w:val="000000"/>
                <w:sz w:val="18"/>
                <w:szCs w:val="18"/>
              </w:rPr>
              <w:t>, 1,2,3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1.20%</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98.37%</w:t>
            </w:r>
          </w:p>
        </w:tc>
      </w:tr>
      <w:tr w:rsidR="00872FBF" w:rsidRPr="006D6664" w:rsidTr="00872FBF">
        <w:trPr>
          <w:trHeight w:val="288"/>
          <w:jc w:val="center"/>
        </w:trPr>
        <w:tc>
          <w:tcPr>
            <w:tcW w:w="2497" w:type="dxa"/>
            <w:tcBorders>
              <w:top w:val="nil"/>
              <w:left w:val="single" w:sz="12" w:space="0" w:color="auto"/>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Dichlorobenzene, 1,3- (c)</w:t>
            </w:r>
          </w:p>
        </w:tc>
        <w:tc>
          <w:tcPr>
            <w:tcW w:w="2492"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1.25%</w:t>
            </w:r>
          </w:p>
        </w:tc>
        <w:tc>
          <w:tcPr>
            <w:tcW w:w="1660"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11.23%</w:t>
            </w:r>
          </w:p>
        </w:tc>
        <w:tc>
          <w:tcPr>
            <w:tcW w:w="1890" w:type="dxa"/>
            <w:tcBorders>
              <w:top w:val="nil"/>
              <w:left w:val="nil"/>
              <w:bottom w:val="single" w:sz="4" w:space="0" w:color="auto"/>
              <w:right w:val="single" w:sz="12"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sz w:val="18"/>
                <w:szCs w:val="18"/>
              </w:rPr>
            </w:pPr>
            <w:proofErr w:type="spellStart"/>
            <w:r w:rsidRPr="006D6664">
              <w:rPr>
                <w:rFonts w:ascii="Arial" w:eastAsia="Times New Roman" w:hAnsi="Arial" w:cs="Arial"/>
                <w:sz w:val="18"/>
                <w:szCs w:val="18"/>
              </w:rPr>
              <w:t>na</w:t>
            </w:r>
            <w:proofErr w:type="spellEnd"/>
          </w:p>
        </w:tc>
      </w:tr>
      <w:tr w:rsidR="00872FBF" w:rsidRPr="006D6664" w:rsidTr="00872FBF">
        <w:trPr>
          <w:trHeight w:val="288"/>
          <w:jc w:val="center"/>
        </w:trPr>
        <w:tc>
          <w:tcPr>
            <w:tcW w:w="2497" w:type="dxa"/>
            <w:tcBorders>
              <w:top w:val="nil"/>
              <w:left w:val="single" w:sz="12" w:space="0" w:color="auto"/>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Benzo</w:t>
            </w:r>
            <w:proofErr w:type="spellEnd"/>
            <w:r w:rsidRPr="006D6664">
              <w:rPr>
                <w:rFonts w:ascii="Arial" w:eastAsia="Times New Roman" w:hAnsi="Arial" w:cs="Arial"/>
                <w:color w:val="000000"/>
                <w:sz w:val="18"/>
                <w:szCs w:val="18"/>
              </w:rPr>
              <w:t>(a)</w:t>
            </w:r>
            <w:proofErr w:type="spellStart"/>
            <w:r w:rsidRPr="006D6664">
              <w:rPr>
                <w:rFonts w:ascii="Arial" w:eastAsia="Times New Roman" w:hAnsi="Arial" w:cs="Arial"/>
                <w:color w:val="000000"/>
                <w:sz w:val="18"/>
                <w:szCs w:val="18"/>
              </w:rPr>
              <w:t>pyrene</w:t>
            </w:r>
            <w:proofErr w:type="spellEnd"/>
            <w:r w:rsidRPr="006D6664">
              <w:rPr>
                <w:rFonts w:ascii="Arial" w:eastAsia="Times New Roman" w:hAnsi="Arial" w:cs="Arial"/>
                <w:color w:val="000000"/>
                <w:sz w:val="18"/>
                <w:szCs w:val="18"/>
              </w:rPr>
              <w:t xml:space="preserve"> (c)</w:t>
            </w:r>
          </w:p>
        </w:tc>
        <w:tc>
          <w:tcPr>
            <w:tcW w:w="2492"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0.71%</w:t>
            </w:r>
          </w:p>
        </w:tc>
        <w:tc>
          <w:tcPr>
            <w:tcW w:w="1660"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33.82%</w:t>
            </w:r>
          </w:p>
        </w:tc>
        <w:tc>
          <w:tcPr>
            <w:tcW w:w="1890" w:type="dxa"/>
            <w:tcBorders>
              <w:top w:val="nil"/>
              <w:left w:val="nil"/>
              <w:bottom w:val="single" w:sz="4" w:space="0" w:color="auto"/>
              <w:right w:val="single" w:sz="12"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sz w:val="18"/>
                <w:szCs w:val="18"/>
              </w:rPr>
            </w:pPr>
            <w:proofErr w:type="spellStart"/>
            <w:r w:rsidRPr="006D6664">
              <w:rPr>
                <w:rFonts w:ascii="Arial" w:eastAsia="Times New Roman" w:hAnsi="Arial" w:cs="Arial"/>
                <w:sz w:val="18"/>
                <w:szCs w:val="18"/>
              </w:rPr>
              <w:t>na</w:t>
            </w:r>
            <w:proofErr w:type="spellEnd"/>
          </w:p>
        </w:tc>
      </w:tr>
      <w:tr w:rsidR="00872FBF" w:rsidRPr="006D6664" w:rsidTr="00872FBF">
        <w:trPr>
          <w:trHeight w:val="288"/>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Copper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0.51%</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0.05%</w:t>
            </w:r>
          </w:p>
        </w:tc>
      </w:tr>
      <w:tr w:rsidR="00872FBF" w:rsidRPr="006D6664" w:rsidTr="00872FBF">
        <w:trPr>
          <w:trHeight w:val="288"/>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Phenol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0.24%</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0.00%</w:t>
            </w:r>
          </w:p>
        </w:tc>
      </w:tr>
      <w:tr w:rsidR="00872FBF" w:rsidRPr="006D6664" w:rsidTr="00872FBF">
        <w:trPr>
          <w:trHeight w:val="288"/>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lastRenderedPageBreak/>
              <w:t>Iron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0.38%</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0.16%</w:t>
            </w:r>
          </w:p>
        </w:tc>
      </w:tr>
      <w:tr w:rsidR="00872FBF" w:rsidRPr="006D6664" w:rsidTr="00872FBF">
        <w:trPr>
          <w:trHeight w:val="288"/>
          <w:jc w:val="center"/>
        </w:trPr>
        <w:tc>
          <w:tcPr>
            <w:tcW w:w="2497" w:type="dxa"/>
            <w:tcBorders>
              <w:top w:val="nil"/>
              <w:left w:val="single" w:sz="12" w:space="0" w:color="auto"/>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Dichlorobenzene, 1,4- (c)</w:t>
            </w:r>
          </w:p>
        </w:tc>
        <w:tc>
          <w:tcPr>
            <w:tcW w:w="2492"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0.54%</w:t>
            </w:r>
          </w:p>
        </w:tc>
        <w:tc>
          <w:tcPr>
            <w:tcW w:w="1660" w:type="dxa"/>
            <w:tcBorders>
              <w:top w:val="nil"/>
              <w:left w:val="nil"/>
              <w:bottom w:val="single" w:sz="4" w:space="0" w:color="auto"/>
              <w:right w:val="single" w:sz="4"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27.48%</w:t>
            </w:r>
          </w:p>
        </w:tc>
        <w:tc>
          <w:tcPr>
            <w:tcW w:w="1890" w:type="dxa"/>
            <w:tcBorders>
              <w:top w:val="nil"/>
              <w:left w:val="nil"/>
              <w:bottom w:val="single" w:sz="4" w:space="0" w:color="auto"/>
              <w:right w:val="single" w:sz="12" w:space="0" w:color="auto"/>
            </w:tcBorders>
            <w:shd w:val="clear" w:color="000000" w:fill="FFFF00"/>
            <w:noWrap/>
            <w:vAlign w:val="bottom"/>
            <w:hideMark/>
          </w:tcPr>
          <w:p w:rsidR="00872FBF" w:rsidRPr="006D6664" w:rsidRDefault="00872FBF" w:rsidP="00234F92">
            <w:pPr>
              <w:spacing w:after="0" w:line="240" w:lineRule="auto"/>
              <w:jc w:val="center"/>
              <w:rPr>
                <w:rFonts w:ascii="Arial" w:eastAsia="Times New Roman" w:hAnsi="Arial" w:cs="Arial"/>
                <w:sz w:val="18"/>
                <w:szCs w:val="18"/>
              </w:rPr>
            </w:pPr>
            <w:proofErr w:type="spellStart"/>
            <w:r w:rsidRPr="006D6664">
              <w:rPr>
                <w:rFonts w:ascii="Arial" w:eastAsia="Times New Roman" w:hAnsi="Arial" w:cs="Arial"/>
                <w:sz w:val="18"/>
                <w:szCs w:val="18"/>
              </w:rPr>
              <w:t>na</w:t>
            </w:r>
            <w:proofErr w:type="spellEnd"/>
          </w:p>
        </w:tc>
      </w:tr>
      <w:tr w:rsidR="00872FBF" w:rsidRPr="006D6664" w:rsidTr="00872FBF">
        <w:trPr>
          <w:trHeight w:val="288"/>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Chromium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0.30%</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0.00%</w:t>
            </w:r>
          </w:p>
        </w:tc>
      </w:tr>
      <w:tr w:rsidR="00872FBF" w:rsidRPr="006D6664" w:rsidTr="00872FBF">
        <w:trPr>
          <w:trHeight w:val="288"/>
          <w:jc w:val="center"/>
        </w:trPr>
        <w:tc>
          <w:tcPr>
            <w:tcW w:w="2497" w:type="dxa"/>
            <w:tcBorders>
              <w:top w:val="nil"/>
              <w:left w:val="single" w:sz="12" w:space="0" w:color="auto"/>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rPr>
                <w:rFonts w:ascii="Arial" w:eastAsia="Times New Roman" w:hAnsi="Arial" w:cs="Arial"/>
                <w:color w:val="000000"/>
                <w:sz w:val="18"/>
                <w:szCs w:val="18"/>
              </w:rPr>
            </w:pPr>
            <w:r w:rsidRPr="006D6664">
              <w:rPr>
                <w:rFonts w:ascii="Arial" w:eastAsia="Times New Roman" w:hAnsi="Arial" w:cs="Arial"/>
                <w:color w:val="000000"/>
                <w:sz w:val="18"/>
                <w:szCs w:val="18"/>
              </w:rPr>
              <w:t>Cadmium (n)</w:t>
            </w:r>
          </w:p>
        </w:tc>
        <w:tc>
          <w:tcPr>
            <w:tcW w:w="2492"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0.27%</w:t>
            </w:r>
          </w:p>
        </w:tc>
        <w:tc>
          <w:tcPr>
            <w:tcW w:w="1660" w:type="dxa"/>
            <w:tcBorders>
              <w:top w:val="nil"/>
              <w:left w:val="nil"/>
              <w:bottom w:val="single" w:sz="4" w:space="0" w:color="auto"/>
              <w:right w:val="single" w:sz="4"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color w:val="000000"/>
                <w:sz w:val="18"/>
                <w:szCs w:val="18"/>
              </w:rPr>
            </w:pPr>
            <w:proofErr w:type="spellStart"/>
            <w:r w:rsidRPr="006D6664">
              <w:rPr>
                <w:rFonts w:ascii="Arial" w:eastAsia="Times New Roman" w:hAnsi="Arial" w:cs="Arial"/>
                <w:color w:val="000000"/>
                <w:sz w:val="18"/>
                <w:szCs w:val="18"/>
              </w:rPr>
              <w:t>na</w:t>
            </w:r>
            <w:proofErr w:type="spellEnd"/>
          </w:p>
        </w:tc>
        <w:tc>
          <w:tcPr>
            <w:tcW w:w="1890" w:type="dxa"/>
            <w:tcBorders>
              <w:top w:val="nil"/>
              <w:left w:val="nil"/>
              <w:bottom w:val="single" w:sz="4" w:space="0" w:color="auto"/>
              <w:right w:val="single" w:sz="12" w:space="0" w:color="auto"/>
            </w:tcBorders>
            <w:shd w:val="clear" w:color="000000" w:fill="B7DEE8"/>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0.04%</w:t>
            </w:r>
          </w:p>
        </w:tc>
      </w:tr>
      <w:tr w:rsidR="00872FBF" w:rsidRPr="006D6664" w:rsidTr="00872FBF">
        <w:trPr>
          <w:trHeight w:val="336"/>
          <w:jc w:val="center"/>
        </w:trPr>
        <w:tc>
          <w:tcPr>
            <w:tcW w:w="2497" w:type="dxa"/>
            <w:tcBorders>
              <w:top w:val="nil"/>
              <w:left w:val="single" w:sz="12" w:space="0" w:color="auto"/>
              <w:bottom w:val="single" w:sz="12" w:space="0" w:color="auto"/>
              <w:right w:val="single" w:sz="4" w:space="0" w:color="auto"/>
            </w:tcBorders>
            <w:shd w:val="clear" w:color="000000" w:fill="9BBB59"/>
            <w:noWrap/>
            <w:vAlign w:val="bottom"/>
            <w:hideMark/>
          </w:tcPr>
          <w:p w:rsidR="00872FBF" w:rsidRPr="006D6664" w:rsidRDefault="00872FBF" w:rsidP="00234F92">
            <w:pPr>
              <w:spacing w:after="0" w:line="240" w:lineRule="auto"/>
              <w:rPr>
                <w:rFonts w:ascii="Arial" w:eastAsia="Times New Roman" w:hAnsi="Arial" w:cs="Arial"/>
                <w:i/>
                <w:iCs/>
                <w:color w:val="000000"/>
                <w:sz w:val="18"/>
                <w:szCs w:val="18"/>
              </w:rPr>
            </w:pPr>
            <w:r w:rsidRPr="006D6664">
              <w:rPr>
                <w:rFonts w:ascii="Arial" w:eastAsia="Times New Roman" w:hAnsi="Arial" w:cs="Arial"/>
                <w:i/>
                <w:iCs/>
                <w:color w:val="000000"/>
                <w:sz w:val="18"/>
                <w:szCs w:val="18"/>
              </w:rPr>
              <w:t>All Other Chemicals</w:t>
            </w:r>
            <w:r w:rsidRPr="006D6664">
              <w:rPr>
                <w:rFonts w:ascii="Arial" w:eastAsia="Times New Roman" w:hAnsi="Arial" w:cs="Arial"/>
                <w:i/>
                <w:iCs/>
                <w:color w:val="000000"/>
                <w:sz w:val="18"/>
                <w:szCs w:val="18"/>
                <w:vertAlign w:val="superscript"/>
              </w:rPr>
              <w:t>1</w:t>
            </w:r>
          </w:p>
        </w:tc>
        <w:tc>
          <w:tcPr>
            <w:tcW w:w="2492" w:type="dxa"/>
            <w:tcBorders>
              <w:top w:val="nil"/>
              <w:left w:val="nil"/>
              <w:bottom w:val="single" w:sz="12" w:space="0" w:color="auto"/>
              <w:right w:val="single" w:sz="4" w:space="0" w:color="auto"/>
            </w:tcBorders>
            <w:shd w:val="clear" w:color="000000" w:fill="9BBB59"/>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&lt;1%</w:t>
            </w:r>
          </w:p>
        </w:tc>
        <w:tc>
          <w:tcPr>
            <w:tcW w:w="1660" w:type="dxa"/>
            <w:tcBorders>
              <w:top w:val="nil"/>
              <w:left w:val="nil"/>
              <w:bottom w:val="single" w:sz="12" w:space="0" w:color="auto"/>
              <w:right w:val="single" w:sz="4" w:space="0" w:color="auto"/>
            </w:tcBorders>
            <w:shd w:val="clear" w:color="000000" w:fill="9BBB59"/>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&lt;1%</w:t>
            </w:r>
          </w:p>
        </w:tc>
        <w:tc>
          <w:tcPr>
            <w:tcW w:w="1890" w:type="dxa"/>
            <w:tcBorders>
              <w:top w:val="nil"/>
              <w:left w:val="nil"/>
              <w:bottom w:val="single" w:sz="12" w:space="0" w:color="auto"/>
              <w:right w:val="single" w:sz="12" w:space="0" w:color="auto"/>
            </w:tcBorders>
            <w:shd w:val="clear" w:color="000000" w:fill="9BBB59"/>
            <w:noWrap/>
            <w:vAlign w:val="bottom"/>
            <w:hideMark/>
          </w:tcPr>
          <w:p w:rsidR="00872FBF" w:rsidRPr="006D6664" w:rsidRDefault="00872FBF" w:rsidP="00234F92">
            <w:pPr>
              <w:spacing w:after="0" w:line="240" w:lineRule="auto"/>
              <w:jc w:val="center"/>
              <w:rPr>
                <w:rFonts w:ascii="Arial" w:eastAsia="Times New Roman" w:hAnsi="Arial" w:cs="Arial"/>
                <w:b/>
                <w:bCs/>
                <w:color w:val="FF0000"/>
                <w:sz w:val="18"/>
                <w:szCs w:val="18"/>
              </w:rPr>
            </w:pPr>
            <w:r w:rsidRPr="006D6664">
              <w:rPr>
                <w:rFonts w:ascii="Arial" w:eastAsia="Times New Roman" w:hAnsi="Arial" w:cs="Arial"/>
                <w:b/>
                <w:bCs/>
                <w:color w:val="FF0000"/>
                <w:sz w:val="18"/>
                <w:szCs w:val="18"/>
              </w:rPr>
              <w:t>&lt;1%</w:t>
            </w:r>
          </w:p>
        </w:tc>
      </w:tr>
    </w:tbl>
    <w:p w:rsidR="00763C74" w:rsidRPr="00DA70D4" w:rsidRDefault="00763C74" w:rsidP="00234F92">
      <w:pPr>
        <w:spacing w:after="120" w:line="240" w:lineRule="auto"/>
        <w:rPr>
          <w:i/>
        </w:rPr>
      </w:pPr>
      <w:r w:rsidRPr="00DA70D4">
        <w:rPr>
          <w:rFonts w:ascii="Arial" w:eastAsia="Times New Roman" w:hAnsi="Arial" w:cs="Arial"/>
          <w:i/>
          <w:color w:val="000000"/>
          <w:sz w:val="18"/>
          <w:szCs w:val="18"/>
          <w:highlight w:val="lightGray"/>
        </w:rPr>
        <w:t xml:space="preserve"> (n) = non</w:t>
      </w:r>
      <w:r w:rsidR="00DA70D4" w:rsidRPr="00DA70D4">
        <w:rPr>
          <w:rFonts w:ascii="Arial" w:eastAsia="Times New Roman" w:hAnsi="Arial" w:cs="Arial"/>
          <w:i/>
          <w:color w:val="000000"/>
          <w:sz w:val="18"/>
          <w:szCs w:val="18"/>
          <w:highlight w:val="lightGray"/>
        </w:rPr>
        <w:t>-</w:t>
      </w:r>
      <w:r w:rsidRPr="00DA70D4">
        <w:rPr>
          <w:rFonts w:ascii="Arial" w:eastAsia="Times New Roman" w:hAnsi="Arial" w:cs="Arial"/>
          <w:i/>
          <w:color w:val="000000"/>
          <w:sz w:val="18"/>
          <w:szCs w:val="18"/>
          <w:highlight w:val="lightGray"/>
        </w:rPr>
        <w:t>carcinogen</w:t>
      </w:r>
      <w:r w:rsidRPr="00DA70D4">
        <w:rPr>
          <w:rFonts w:ascii="Arial" w:eastAsia="Times New Roman" w:hAnsi="Arial" w:cs="Arial"/>
          <w:i/>
          <w:color w:val="000000"/>
          <w:sz w:val="18"/>
          <w:szCs w:val="18"/>
        </w:rPr>
        <w:t xml:space="preserve">; </w:t>
      </w:r>
      <w:r w:rsidRPr="00DA70D4">
        <w:rPr>
          <w:rFonts w:ascii="Arial" w:eastAsia="Times New Roman" w:hAnsi="Arial" w:cs="Arial"/>
          <w:i/>
          <w:color w:val="000000"/>
          <w:sz w:val="18"/>
          <w:szCs w:val="18"/>
          <w:highlight w:val="yellow"/>
        </w:rPr>
        <w:t>(c) = carcinogen</w:t>
      </w:r>
      <w:r w:rsidRPr="00DA70D4">
        <w:rPr>
          <w:rFonts w:ascii="Arial" w:eastAsia="Times New Roman" w:hAnsi="Arial" w:cs="Arial"/>
          <w:i/>
          <w:color w:val="000000"/>
          <w:sz w:val="18"/>
          <w:szCs w:val="18"/>
        </w:rPr>
        <w:t xml:space="preserve">; T = target risk (1E-06) for carcinogens </w:t>
      </w:r>
      <w:r w:rsidRPr="00DA70D4">
        <w:rPr>
          <w:rFonts w:ascii="Arial" w:eastAsia="Times New Roman" w:hAnsi="Arial" w:cs="Arial"/>
          <w:b/>
          <w:bCs/>
          <w:i/>
          <w:iCs/>
          <w:color w:val="000000"/>
          <w:sz w:val="18"/>
          <w:szCs w:val="18"/>
          <w:u w:val="single"/>
        </w:rPr>
        <w:t>or</w:t>
      </w:r>
      <w:r w:rsidRPr="00DA70D4">
        <w:rPr>
          <w:rFonts w:ascii="Arial" w:eastAsia="Times New Roman" w:hAnsi="Arial" w:cs="Arial"/>
          <w:i/>
          <w:color w:val="000000"/>
          <w:sz w:val="18"/>
          <w:szCs w:val="18"/>
        </w:rPr>
        <w:t xml:space="preserve"> target hazard quotient; (1) for non carcinogens; </w:t>
      </w:r>
      <w:r w:rsidRPr="00DA70D4">
        <w:rPr>
          <w:rFonts w:ascii="Arial" w:eastAsia="Times New Roman" w:hAnsi="Arial" w:cs="Arial"/>
          <w:i/>
          <w:color w:val="000000"/>
          <w:sz w:val="18"/>
          <w:szCs w:val="18"/>
          <w:vertAlign w:val="superscript"/>
        </w:rPr>
        <w:t>1</w:t>
      </w:r>
      <w:r w:rsidRPr="00DA70D4">
        <w:rPr>
          <w:rFonts w:ascii="Arial" w:eastAsia="Times New Roman" w:hAnsi="Arial" w:cs="Arial"/>
          <w:i/>
          <w:color w:val="000000"/>
          <w:sz w:val="18"/>
          <w:szCs w:val="18"/>
        </w:rPr>
        <w:t xml:space="preserve"> Contribution not assumed to be substantive, thus not included in percentage totals</w:t>
      </w:r>
    </w:p>
    <w:p w:rsidR="00D62C8C" w:rsidRDefault="00E35068" w:rsidP="00234F92">
      <w:pPr>
        <w:spacing w:after="120" w:line="240" w:lineRule="auto"/>
      </w:pPr>
      <w:r>
        <w:t>D</w:t>
      </w:r>
      <w:r w:rsidR="00D62C8C">
        <w:t xml:space="preserve">rastically different results are derived predicated on a health-based approach which segregates for toxic endpoint and the </w:t>
      </w:r>
      <w:r>
        <w:t>traditional</w:t>
      </w:r>
      <w:r w:rsidR="00D62C8C">
        <w:t xml:space="preserve"> methodology which has been historically employed in environmental contribution cost allocation studies</w:t>
      </w:r>
      <w:r w:rsidR="00DA70D4">
        <w:t>.  It is important to note here</w:t>
      </w:r>
      <w:r w:rsidR="00D62C8C">
        <w:t xml:space="preserve"> that these estimates assume a basis on the </w:t>
      </w:r>
      <w:r w:rsidR="00D62C8C" w:rsidRPr="00E35068">
        <w:rPr>
          <w:i/>
        </w:rPr>
        <w:t xml:space="preserve">Toxicity </w:t>
      </w:r>
      <w:r w:rsidR="00DA70D4">
        <w:t>f</w:t>
      </w:r>
      <w:r w:rsidR="00D62C8C" w:rsidRPr="00DA70D4">
        <w:t xml:space="preserve">actor </w:t>
      </w:r>
      <w:r w:rsidR="00D62C8C">
        <w:t xml:space="preserve">solely, without provision for inclusion of the </w:t>
      </w:r>
      <w:r w:rsidR="00D62C8C" w:rsidRPr="00E35068">
        <w:rPr>
          <w:i/>
        </w:rPr>
        <w:t xml:space="preserve">Amount </w:t>
      </w:r>
      <w:r w:rsidR="00DA70D4">
        <w:t>f</w:t>
      </w:r>
      <w:r w:rsidR="00D62C8C" w:rsidRPr="00DA70D4">
        <w:t>actor</w:t>
      </w:r>
      <w:r w:rsidR="00D62C8C">
        <w:t xml:space="preserve">, which can have a radical influence on the ultimate volume of waste (and, hence, cost) which needs to be addressed.  This assessment is limited to an examination of the impact on the </w:t>
      </w:r>
      <w:r w:rsidR="00D62C8C" w:rsidRPr="00E35068">
        <w:rPr>
          <w:i/>
        </w:rPr>
        <w:t xml:space="preserve">Toxicity </w:t>
      </w:r>
      <w:r w:rsidR="00DA70D4">
        <w:t>f</w:t>
      </w:r>
      <w:r w:rsidR="00D62C8C" w:rsidRPr="00DA70D4">
        <w:t xml:space="preserve">actor </w:t>
      </w:r>
      <w:r w:rsidR="00D62C8C">
        <w:t xml:space="preserve">for use in the greater cost allocation strategy.  For the purposes of discussion and clarity, a linear relationship has been assumed to occur between the resultant </w:t>
      </w:r>
      <w:r w:rsidR="00D62C8C" w:rsidRPr="006D6664">
        <w:rPr>
          <w:i/>
        </w:rPr>
        <w:t xml:space="preserve">Toxicity </w:t>
      </w:r>
      <w:r w:rsidR="00DA70D4">
        <w:t>f</w:t>
      </w:r>
      <w:r w:rsidR="00D62C8C" w:rsidRPr="00DA70D4">
        <w:t xml:space="preserve">actor </w:t>
      </w:r>
      <w:r w:rsidR="00D62C8C">
        <w:t xml:space="preserve">adjustments and percentage of cost for remediation.  </w:t>
      </w:r>
    </w:p>
    <w:p w:rsidR="006D6664" w:rsidRDefault="00DA70D4" w:rsidP="00234F92">
      <w:pPr>
        <w:spacing w:after="120" w:line="240" w:lineRule="auto"/>
      </w:pPr>
      <w:r>
        <w:t>In the s</w:t>
      </w:r>
      <w:r w:rsidR="00D62C8C">
        <w:t>tate program-based example, a court may stipulate</w:t>
      </w:r>
      <w:r>
        <w:t xml:space="preserve"> allocation of greater than 90 percent </w:t>
      </w:r>
      <w:r w:rsidR="00D62C8C">
        <w:t xml:space="preserve">of the environmental “harm” (again, strictly based on toxicity, not inclusive of the </w:t>
      </w:r>
      <w:r w:rsidR="00D62C8C" w:rsidRPr="00DA70D4">
        <w:rPr>
          <w:i/>
        </w:rPr>
        <w:t>Amount</w:t>
      </w:r>
      <w:r>
        <w:t xml:space="preserve"> f</w:t>
      </w:r>
      <w:r w:rsidR="00D62C8C">
        <w:t>actor) to four contaminants [i.e., zinc, mercury, 1</w:t>
      </w:r>
      <w:proofErr w:type="gramStart"/>
      <w:r w:rsidR="00D62C8C">
        <w:t>,2,4</w:t>
      </w:r>
      <w:proofErr w:type="gramEnd"/>
      <w:r w:rsidR="00D62C8C">
        <w:t>-trichlorobenzene (1,2,4-TCB), and benzene].  In a health-based assessment, consistent with US</w:t>
      </w:r>
      <w:r>
        <w:t xml:space="preserve"> </w:t>
      </w:r>
      <w:r w:rsidR="00D62C8C">
        <w:t>EPA policies and programs, these same contaminants fail to act as the preeminent drivers of carcinogenic risk (~15%) or non</w:t>
      </w:r>
      <w:r>
        <w:t>-</w:t>
      </w:r>
      <w:r w:rsidR="00D62C8C">
        <w:t>carcinogenic hazard (~1%).  Zinc fails to contribute substantially to non</w:t>
      </w:r>
      <w:r w:rsidR="00B56194">
        <w:t>-</w:t>
      </w:r>
      <w:r w:rsidR="00D62C8C">
        <w:t>carcinogenic hazard, suggesting that there is no basis for mounting a remedial action in response to its release or presence.  Assessment of mercury also shows a sub</w:t>
      </w:r>
      <w:r w:rsidR="00B56194">
        <w:t>stantive difference, where 5.53 percent</w:t>
      </w:r>
      <w:r w:rsidR="00D62C8C">
        <w:t xml:space="preserve"> of the “environmental harm” is apportioned to </w:t>
      </w:r>
      <w:r w:rsidR="006D6664">
        <w:t>mercury</w:t>
      </w:r>
      <w:r w:rsidR="00B56194">
        <w:t xml:space="preserve"> via the s</w:t>
      </w:r>
      <w:r w:rsidR="00D62C8C">
        <w:t>tate program approach, while the TAP health-based approach only provides for a</w:t>
      </w:r>
      <w:r w:rsidR="00B56194">
        <w:t xml:space="preserve"> roughly 1</w:t>
      </w:r>
      <w:r w:rsidR="004B66ED">
        <w:t xml:space="preserve"> </w:t>
      </w:r>
      <w:r w:rsidR="00D62C8C">
        <w:t xml:space="preserve">percent allocation for capacity for environmental harm.  </w:t>
      </w:r>
    </w:p>
    <w:p w:rsidR="008E4633" w:rsidRPr="00234F92" w:rsidRDefault="006D6664" w:rsidP="00234F92">
      <w:pPr>
        <w:spacing w:after="120" w:line="240" w:lineRule="auto"/>
      </w:pPr>
      <w:r>
        <w:t>In addition, t</w:t>
      </w:r>
      <w:r w:rsidR="004B66ED">
        <w:t>he s</w:t>
      </w:r>
      <w:r w:rsidR="00D62C8C">
        <w:t>tate-base</w:t>
      </w:r>
      <w:r w:rsidR="004B66ED">
        <w:t>d approach associates roughly 4 percent</w:t>
      </w:r>
      <w:r w:rsidR="00D62C8C">
        <w:t xml:space="preserve"> of the capacity for “environmental harm” with 1</w:t>
      </w:r>
      <w:proofErr w:type="gramStart"/>
      <w:r w:rsidR="00D62C8C">
        <w:t>,2,4</w:t>
      </w:r>
      <w:proofErr w:type="gramEnd"/>
      <w:r w:rsidR="00D62C8C">
        <w:t>-TCB, while the TAP health-based a</w:t>
      </w:r>
      <w:r w:rsidR="004B66ED">
        <w:t>pproach results in a roughly 10 percent</w:t>
      </w:r>
      <w:r w:rsidR="00D62C8C">
        <w:t xml:space="preserve"> allocation of associated risk.  One of the greatest differences results in an ass</w:t>
      </w:r>
      <w:r w:rsidR="004B66ED">
        <w:t>essment for benzene, where the s</w:t>
      </w:r>
      <w:r w:rsidR="00D62C8C">
        <w:t>tate-based approach results in an associated “environmental ha</w:t>
      </w:r>
      <w:r w:rsidR="004B66ED">
        <w:t>rm” estimate of greater than 75 percent</w:t>
      </w:r>
      <w:r w:rsidR="00D62C8C">
        <w:t>, while the TAP health-based approach results in an associate</w:t>
      </w:r>
      <w:r w:rsidR="004B66ED">
        <w:t xml:space="preserve">d allocation of approximately 5 percent.  Similar </w:t>
      </w:r>
      <w:r w:rsidR="00D62C8C">
        <w:t xml:space="preserve">differences are evident for the </w:t>
      </w:r>
      <w:proofErr w:type="gramStart"/>
      <w:r w:rsidR="00234F92">
        <w:t xml:space="preserve">PAHs </w:t>
      </w:r>
      <w:r w:rsidR="00D62C8C">
        <w:t xml:space="preserve"> </w:t>
      </w:r>
      <w:proofErr w:type="spellStart"/>
      <w:r w:rsidR="00D62C8C">
        <w:t>dibenz</w:t>
      </w:r>
      <w:proofErr w:type="spellEnd"/>
      <w:proofErr w:type="gramEnd"/>
      <w:r w:rsidR="00D62C8C">
        <w:t>(</w:t>
      </w:r>
      <w:proofErr w:type="spellStart"/>
      <w:r w:rsidR="00D62C8C">
        <w:t>a,h</w:t>
      </w:r>
      <w:proofErr w:type="spellEnd"/>
      <w:r w:rsidR="00D62C8C">
        <w:t>)</w:t>
      </w:r>
      <w:proofErr w:type="spellStart"/>
      <w:r w:rsidR="00D62C8C">
        <w:t>anthracene</w:t>
      </w:r>
      <w:proofErr w:type="spellEnd"/>
      <w:r w:rsidR="00D62C8C">
        <w:t xml:space="preserve"> and </w:t>
      </w:r>
      <w:proofErr w:type="spellStart"/>
      <w:r w:rsidR="00D62C8C">
        <w:t>benzo</w:t>
      </w:r>
      <w:proofErr w:type="spellEnd"/>
      <w:r w:rsidR="00D62C8C">
        <w:t>(a)</w:t>
      </w:r>
      <w:proofErr w:type="spellStart"/>
      <w:r w:rsidR="00D62C8C">
        <w:t>pyrene</w:t>
      </w:r>
      <w:proofErr w:type="spellEnd"/>
      <w:r w:rsidR="00D62C8C">
        <w:t xml:space="preserve"> as well as 1,3-dichlorobenzene.  This latter constituent, in point of fact, does not have a federally-promulgated health-based standard</w:t>
      </w:r>
      <w:r w:rsidR="004B66ED">
        <w:t>,</w:t>
      </w:r>
      <w:r w:rsidR="00D62C8C">
        <w:t xml:space="preserve"> and efficacy has been equated with 1</w:t>
      </w:r>
      <w:proofErr w:type="gramStart"/>
      <w:r w:rsidR="00D62C8C">
        <w:t>,4</w:t>
      </w:r>
      <w:proofErr w:type="gramEnd"/>
      <w:r w:rsidR="00D62C8C">
        <w:t xml:space="preserve">-diclorobenzene based on a structure-activity relationship and an assumption supporting use of the most toxic isomer for which there is a federally-promulgated standard.  Special attention is called to the case for </w:t>
      </w:r>
      <w:proofErr w:type="spellStart"/>
      <w:proofErr w:type="gramStart"/>
      <w:r w:rsidR="00D62C8C">
        <w:t>benzo</w:t>
      </w:r>
      <w:proofErr w:type="spellEnd"/>
      <w:r w:rsidR="00D62C8C">
        <w:t>(</w:t>
      </w:r>
      <w:proofErr w:type="gramEnd"/>
      <w:r w:rsidR="00D62C8C">
        <w:t>a)</w:t>
      </w:r>
      <w:proofErr w:type="spellStart"/>
      <w:r w:rsidR="00D62C8C">
        <w:t>pyrene</w:t>
      </w:r>
      <w:proofErr w:type="spellEnd"/>
      <w:r w:rsidR="00D62C8C">
        <w:t xml:space="preserve"> and </w:t>
      </w:r>
      <w:r w:rsidR="004B66ED">
        <w:t>1,4-dichlorobenzene, where the s</w:t>
      </w:r>
      <w:r w:rsidR="00D62C8C">
        <w:t>tate-based ap</w:t>
      </w:r>
      <w:r w:rsidR="004B66ED">
        <w:t>proach attributes less than 1.5 percent</w:t>
      </w:r>
      <w:r w:rsidR="00D62C8C">
        <w:t xml:space="preserve"> of the “environmental harm” to these contaminants</w:t>
      </w:r>
      <w:r w:rsidR="004B66ED">
        <w:t>,  while</w:t>
      </w:r>
      <w:r w:rsidR="00D62C8C">
        <w:t xml:space="preserve"> the TAP health-based approach demonstrates that these contaminants may b</w:t>
      </w:r>
      <w:r w:rsidR="004B66ED">
        <w:t>e related to greater than 60 percent</w:t>
      </w:r>
      <w:r w:rsidR="00D62C8C">
        <w:t xml:space="preserve"> of the associated risk at the site in question.</w:t>
      </w:r>
    </w:p>
    <w:p w:rsidR="00264C89" w:rsidRPr="00D078BF" w:rsidRDefault="00264C89" w:rsidP="00234F92">
      <w:pPr>
        <w:spacing w:after="120" w:line="240" w:lineRule="auto"/>
        <w:rPr>
          <w:b/>
        </w:rPr>
      </w:pPr>
      <w:r w:rsidRPr="00D078BF">
        <w:rPr>
          <w:b/>
        </w:rPr>
        <w:t>Conclusions</w:t>
      </w:r>
    </w:p>
    <w:p w:rsidR="00234F92" w:rsidRDefault="008E4633" w:rsidP="00234F92">
      <w:pPr>
        <w:spacing w:after="120" w:line="240" w:lineRule="auto"/>
      </w:pPr>
      <w:r>
        <w:t>Of the</w:t>
      </w:r>
      <w:r w:rsidR="00264C89">
        <w:t xml:space="preserve"> six Gore Factors</w:t>
      </w:r>
      <w:r>
        <w:t xml:space="preserve">, </w:t>
      </w:r>
      <w:r w:rsidRPr="008E4633">
        <w:rPr>
          <w:i/>
        </w:rPr>
        <w:t>Toxicity</w:t>
      </w:r>
      <w:r w:rsidRPr="00151693">
        <w:t xml:space="preserve"> and </w:t>
      </w:r>
      <w:r w:rsidRPr="008E4633">
        <w:rPr>
          <w:i/>
        </w:rPr>
        <w:t>Volume</w:t>
      </w:r>
      <w:r w:rsidRPr="00151693">
        <w:t xml:space="preserve"> </w:t>
      </w:r>
      <w:r>
        <w:t>allow for an objective, empirical and quantifiable basis in establishing potential for adverse effects and, by extension, cost</w:t>
      </w:r>
      <w:r w:rsidRPr="00151693">
        <w:t xml:space="preserve">.  </w:t>
      </w:r>
      <w:r w:rsidR="00D62C8C" w:rsidRPr="00F73262">
        <w:t xml:space="preserve">Practical application of cost allocation, incorporating </w:t>
      </w:r>
      <w:r w:rsidR="00D62C8C">
        <w:t xml:space="preserve">the </w:t>
      </w:r>
      <w:r w:rsidR="00D62C8C" w:rsidRPr="00DC03DA">
        <w:rPr>
          <w:i/>
        </w:rPr>
        <w:t xml:space="preserve">Toxicity </w:t>
      </w:r>
      <w:r w:rsidR="00FE3779">
        <w:t>f</w:t>
      </w:r>
      <w:r w:rsidR="00D62C8C" w:rsidRPr="00FE3779">
        <w:t xml:space="preserve">actor </w:t>
      </w:r>
      <w:r w:rsidR="00DC03DA">
        <w:t xml:space="preserve">can be </w:t>
      </w:r>
      <w:r w:rsidR="00D62C8C" w:rsidRPr="00F73262">
        <w:t xml:space="preserve">predicated on </w:t>
      </w:r>
      <w:r w:rsidR="00DC03DA">
        <w:t xml:space="preserve">a more traditional </w:t>
      </w:r>
      <w:r w:rsidR="00D62C8C" w:rsidRPr="00F73262">
        <w:t xml:space="preserve">federal or </w:t>
      </w:r>
      <w:r w:rsidR="00234F92">
        <w:t>state-</w:t>
      </w:r>
      <w:r w:rsidR="00D62C8C" w:rsidRPr="00F73262">
        <w:t>promulgated standards</w:t>
      </w:r>
      <w:r w:rsidR="00DC03DA">
        <w:t xml:space="preserve"> approach</w:t>
      </w:r>
      <w:r w:rsidR="00D62C8C" w:rsidRPr="00F73262">
        <w:t xml:space="preserve"> </w:t>
      </w:r>
      <w:r w:rsidR="00D62C8C" w:rsidRPr="008E4633">
        <w:rPr>
          <w:u w:val="single"/>
        </w:rPr>
        <w:t>or</w:t>
      </w:r>
      <w:r w:rsidR="00D62C8C" w:rsidRPr="00F73262">
        <w:t xml:space="preserve"> </w:t>
      </w:r>
      <w:r w:rsidR="00D62C8C">
        <w:t xml:space="preserve">a </w:t>
      </w:r>
      <w:r w:rsidR="00D62C8C" w:rsidRPr="00F73262">
        <w:t>health-based approach consiste</w:t>
      </w:r>
      <w:r w:rsidR="00D62C8C">
        <w:t>nt</w:t>
      </w:r>
      <w:r w:rsidR="00E53D86">
        <w:t xml:space="preserve"> with US</w:t>
      </w:r>
      <w:r w:rsidR="00FE3779">
        <w:t xml:space="preserve"> </w:t>
      </w:r>
      <w:r w:rsidR="00E53D86">
        <w:t xml:space="preserve">EPA screening procedures as </w:t>
      </w:r>
      <w:r w:rsidR="00FE3779">
        <w:t>previously outlined, an</w:t>
      </w:r>
      <w:r w:rsidR="00E53D86">
        <w:t xml:space="preserve">d referred to as </w:t>
      </w:r>
      <w:r w:rsidR="00FE3779">
        <w:t xml:space="preserve">the </w:t>
      </w:r>
      <w:r w:rsidR="00DC03DA">
        <w:t>T</w:t>
      </w:r>
      <w:r w:rsidR="00FE3779">
        <w:t xml:space="preserve">oxicity </w:t>
      </w:r>
      <w:r w:rsidR="00DC03DA">
        <w:t>A</w:t>
      </w:r>
      <w:r w:rsidR="00FE3779">
        <w:t xml:space="preserve">djusted </w:t>
      </w:r>
      <w:r w:rsidR="00DC03DA">
        <w:t>P</w:t>
      </w:r>
      <w:r w:rsidR="00FE3779">
        <w:t>aradigm</w:t>
      </w:r>
      <w:r w:rsidR="00E53D86">
        <w:t>.  TAP can be used</w:t>
      </w:r>
      <w:r w:rsidR="00D62C8C">
        <w:t xml:space="preserve"> </w:t>
      </w:r>
      <w:r w:rsidR="00DC03DA">
        <w:t xml:space="preserve">to provide </w:t>
      </w:r>
      <w:r w:rsidR="00D62C8C">
        <w:t xml:space="preserve">an alternative strategy for application in the cost allocation process and an improvement in the health consistency and protection basis for courts to consider.  </w:t>
      </w:r>
    </w:p>
    <w:p w:rsidR="00D62C8C" w:rsidRDefault="00EE0649" w:rsidP="00234F92">
      <w:pPr>
        <w:spacing w:after="120" w:line="240" w:lineRule="auto"/>
        <w:rPr>
          <w:i/>
        </w:rPr>
      </w:pPr>
      <w:r>
        <w:t>TechLaw’s analysis of site information and data</w:t>
      </w:r>
      <w:r w:rsidR="00DC03DA">
        <w:t xml:space="preserve"> can determine which approach</w:t>
      </w:r>
      <w:r w:rsidR="00FE3779">
        <w:t>,</w:t>
      </w:r>
      <w:r w:rsidR="00DC03DA">
        <w:t xml:space="preserve"> </w:t>
      </w:r>
      <w:r w:rsidR="00D86E8D">
        <w:t>based on toxicity</w:t>
      </w:r>
      <w:r w:rsidR="00FE3779">
        <w:t>,</w:t>
      </w:r>
      <w:r w:rsidR="00D86E8D">
        <w:t xml:space="preserve"> </w:t>
      </w:r>
      <w:r w:rsidR="00DC03DA">
        <w:t>is more beneficial to a particular PRP</w:t>
      </w:r>
      <w:r w:rsidR="00FE3779">
        <w:t>,</w:t>
      </w:r>
      <w:r w:rsidR="00D86E8D">
        <w:t xml:space="preserve"> and whether the inclusion of s</w:t>
      </w:r>
      <w:r w:rsidR="00454758">
        <w:t>ubjective factors is</w:t>
      </w:r>
      <w:r w:rsidR="00D86E8D">
        <w:t xml:space="preserve"> warranted</w:t>
      </w:r>
      <w:r w:rsidR="00DC03DA">
        <w:t>.</w:t>
      </w:r>
      <w:r w:rsidR="00D86E8D">
        <w:t xml:space="preserve"> </w:t>
      </w:r>
      <w:r w:rsidR="00FE3779">
        <w:t xml:space="preserve">  We believe this</w:t>
      </w:r>
      <w:r w:rsidR="002B4B03">
        <w:t xml:space="preserve"> approach </w:t>
      </w:r>
      <w:r w:rsidR="002B4B03" w:rsidRPr="003043C1">
        <w:t>will provide litigants with an alternative basis for apportionment of culpability</w:t>
      </w:r>
      <w:r w:rsidR="00FE3779">
        <w:t xml:space="preserve">, while </w:t>
      </w:r>
      <w:r>
        <w:t xml:space="preserve">allowing the </w:t>
      </w:r>
      <w:r>
        <w:lastRenderedPageBreak/>
        <w:t>courts to more accurately assess</w:t>
      </w:r>
      <w:r w:rsidR="00FE3779">
        <w:t xml:space="preserve"> the </w:t>
      </w:r>
      <w:r w:rsidR="002B4B03">
        <w:t>merits of a strictly health-based allocation</w:t>
      </w:r>
      <w:r w:rsidR="00454758">
        <w:t>,</w:t>
      </w:r>
      <w:r w:rsidR="002B4B03">
        <w:t xml:space="preserve"> versus one predicated on the consideration of</w:t>
      </w:r>
      <w:r w:rsidR="002B4B03" w:rsidRPr="008C6241">
        <w:t xml:space="preserve"> </w:t>
      </w:r>
      <w:r w:rsidR="002B4B03">
        <w:t>administrative authority-promulgated standards</w:t>
      </w:r>
      <w:r w:rsidR="002B4B03" w:rsidRPr="00F97860">
        <w:rPr>
          <w:i/>
        </w:rPr>
        <w:t>.</w:t>
      </w:r>
    </w:p>
    <w:p w:rsidR="00EE0649" w:rsidRDefault="00EE0649" w:rsidP="00234F92">
      <w:pPr>
        <w:spacing w:after="120" w:line="240" w:lineRule="auto"/>
        <w:rPr>
          <w:i/>
        </w:rPr>
      </w:pPr>
    </w:p>
    <w:p w:rsidR="00EE0649" w:rsidRDefault="00EE0649" w:rsidP="00234F92">
      <w:pPr>
        <w:spacing w:after="120" w:line="240" w:lineRule="auto"/>
        <w:rPr>
          <w:i/>
        </w:rPr>
      </w:pPr>
    </w:p>
    <w:p w:rsidR="00454758" w:rsidRDefault="00454758" w:rsidP="00234F92">
      <w:pPr>
        <w:spacing w:after="120" w:line="240" w:lineRule="auto"/>
      </w:pPr>
    </w:p>
    <w:sectPr w:rsidR="00454758" w:rsidSect="00A5427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B6" w:rsidRDefault="00142CB6" w:rsidP="004A01D5">
      <w:pPr>
        <w:spacing w:after="0" w:line="240" w:lineRule="auto"/>
      </w:pPr>
      <w:r>
        <w:separator/>
      </w:r>
    </w:p>
  </w:endnote>
  <w:endnote w:type="continuationSeparator" w:id="0">
    <w:p w:rsidR="00142CB6" w:rsidRDefault="00142CB6" w:rsidP="004A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B6" w:rsidRDefault="00142CB6" w:rsidP="004A01D5">
      <w:pPr>
        <w:spacing w:after="0" w:line="240" w:lineRule="auto"/>
      </w:pPr>
      <w:r>
        <w:separator/>
      </w:r>
    </w:p>
  </w:footnote>
  <w:footnote w:type="continuationSeparator" w:id="0">
    <w:p w:rsidR="00142CB6" w:rsidRDefault="00142CB6" w:rsidP="004A01D5">
      <w:pPr>
        <w:spacing w:after="0" w:line="240" w:lineRule="auto"/>
      </w:pPr>
      <w:r>
        <w:continuationSeparator/>
      </w:r>
    </w:p>
  </w:footnote>
  <w:footnote w:id="1">
    <w:p w:rsidR="00274CE8" w:rsidRPr="00264C89" w:rsidRDefault="00BD587A" w:rsidP="00C93636">
      <w:pPr>
        <w:rPr>
          <w:sz w:val="18"/>
          <w:szCs w:val="18"/>
        </w:rPr>
      </w:pPr>
      <w:r w:rsidRPr="00264C89">
        <w:rPr>
          <w:rStyle w:val="FootnoteReference"/>
          <w:sz w:val="18"/>
          <w:szCs w:val="18"/>
        </w:rPr>
        <w:footnoteRef/>
      </w:r>
      <w:r w:rsidRPr="00264C89">
        <w:rPr>
          <w:sz w:val="18"/>
          <w:szCs w:val="18"/>
        </w:rPr>
        <w:t xml:space="preserve"> </w:t>
      </w:r>
      <w:r w:rsidR="004022A2">
        <w:rPr>
          <w:sz w:val="18"/>
          <w:szCs w:val="18"/>
        </w:rPr>
        <w:t>The Gore Factors were proposed in 1980 by then-Rep. Albert Gore Jr. as a</w:t>
      </w:r>
      <w:r w:rsidR="004022A2" w:rsidRPr="00264C89">
        <w:rPr>
          <w:sz w:val="18"/>
          <w:szCs w:val="18"/>
        </w:rPr>
        <w:t xml:space="preserve"> set of judicial considerations </w:t>
      </w:r>
      <w:r w:rsidR="004022A2">
        <w:rPr>
          <w:sz w:val="18"/>
          <w:szCs w:val="18"/>
        </w:rPr>
        <w:t xml:space="preserve">to be used as </w:t>
      </w:r>
      <w:r w:rsidR="004022A2" w:rsidRPr="00264C89">
        <w:rPr>
          <w:sz w:val="18"/>
          <w:szCs w:val="18"/>
        </w:rPr>
        <w:t>criteria for apportioning l</w:t>
      </w:r>
      <w:r w:rsidR="004022A2">
        <w:rPr>
          <w:sz w:val="18"/>
          <w:szCs w:val="18"/>
        </w:rPr>
        <w:t xml:space="preserve">osses in a cost recovery action, during deliberations establishing the Comprehensive Environmental Response, Compensation and Liability Act (CERCLA), better known as Superfund.  Although never formally adopted, the </w:t>
      </w:r>
      <w:r w:rsidR="00B712E7">
        <w:rPr>
          <w:sz w:val="18"/>
          <w:szCs w:val="18"/>
        </w:rPr>
        <w:t xml:space="preserve">applicability of the </w:t>
      </w:r>
      <w:r w:rsidR="004022A2">
        <w:rPr>
          <w:sz w:val="18"/>
          <w:szCs w:val="18"/>
        </w:rPr>
        <w:t xml:space="preserve">Gore Factors </w:t>
      </w:r>
      <w:r w:rsidR="00B712E7">
        <w:rPr>
          <w:sz w:val="18"/>
          <w:szCs w:val="18"/>
        </w:rPr>
        <w:t xml:space="preserve">was also discussed as part of the Superfund Amendments and Reauthorization Act to renew Superfund in 1986. </w:t>
      </w:r>
      <w:r w:rsidR="00776AFE">
        <w:rPr>
          <w:sz w:val="18"/>
          <w:szCs w:val="18"/>
        </w:rPr>
        <w:t xml:space="preserve"> </w:t>
      </w:r>
      <w:r w:rsidR="00B712E7">
        <w:rPr>
          <w:sz w:val="18"/>
          <w:szCs w:val="18"/>
        </w:rPr>
        <w:t xml:space="preserve">They have since been widely applied by many </w:t>
      </w:r>
      <w:r w:rsidRPr="00264C89">
        <w:rPr>
          <w:sz w:val="18"/>
          <w:szCs w:val="18"/>
        </w:rPr>
        <w:t xml:space="preserve">courts </w:t>
      </w:r>
      <w:r w:rsidR="00B712E7">
        <w:rPr>
          <w:sz w:val="18"/>
          <w:szCs w:val="18"/>
        </w:rPr>
        <w:t>in</w:t>
      </w:r>
      <w:r w:rsidRPr="00264C89">
        <w:rPr>
          <w:sz w:val="18"/>
          <w:szCs w:val="18"/>
        </w:rPr>
        <w:t xml:space="preserve"> contribution actions.</w:t>
      </w:r>
      <w:r w:rsidR="00274CE8" w:rsidRPr="00264C89">
        <w:rPr>
          <w:sz w:val="18"/>
          <w:szCs w:val="18"/>
        </w:rPr>
        <w:t xml:space="preserve">  </w:t>
      </w:r>
    </w:p>
    <w:p w:rsidR="00BD587A" w:rsidRDefault="00BD587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17E2"/>
    <w:multiLevelType w:val="hybridMultilevel"/>
    <w:tmpl w:val="C3CC09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E59D8"/>
    <w:multiLevelType w:val="hybridMultilevel"/>
    <w:tmpl w:val="1CA402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13FC1"/>
    <w:multiLevelType w:val="hybridMultilevel"/>
    <w:tmpl w:val="FC6A05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65CF1"/>
    <w:multiLevelType w:val="hybridMultilevel"/>
    <w:tmpl w:val="B6069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F9691A"/>
    <w:multiLevelType w:val="hybridMultilevel"/>
    <w:tmpl w:val="D2AA7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0063D1"/>
    <w:multiLevelType w:val="hybridMultilevel"/>
    <w:tmpl w:val="359A9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5A4143"/>
    <w:multiLevelType w:val="hybridMultilevel"/>
    <w:tmpl w:val="CCFA1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FF3ABD"/>
    <w:multiLevelType w:val="hybridMultilevel"/>
    <w:tmpl w:val="BAB4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30"/>
    <w:rsid w:val="000004E6"/>
    <w:rsid w:val="0002176F"/>
    <w:rsid w:val="00022A32"/>
    <w:rsid w:val="0003576D"/>
    <w:rsid w:val="0004253C"/>
    <w:rsid w:val="000442D5"/>
    <w:rsid w:val="000674A2"/>
    <w:rsid w:val="000731D2"/>
    <w:rsid w:val="00080EB4"/>
    <w:rsid w:val="00085BE5"/>
    <w:rsid w:val="00086FC9"/>
    <w:rsid w:val="000A2459"/>
    <w:rsid w:val="000C54FF"/>
    <w:rsid w:val="000D1118"/>
    <w:rsid w:val="000D1143"/>
    <w:rsid w:val="000D69F2"/>
    <w:rsid w:val="000E4091"/>
    <w:rsid w:val="000F054A"/>
    <w:rsid w:val="001265C5"/>
    <w:rsid w:val="00135125"/>
    <w:rsid w:val="00137B18"/>
    <w:rsid w:val="00142CB6"/>
    <w:rsid w:val="00145BD2"/>
    <w:rsid w:val="00152E34"/>
    <w:rsid w:val="00154E4C"/>
    <w:rsid w:val="00155264"/>
    <w:rsid w:val="001B5009"/>
    <w:rsid w:val="001C4EBA"/>
    <w:rsid w:val="001D5579"/>
    <w:rsid w:val="001E2F29"/>
    <w:rsid w:val="001E3612"/>
    <w:rsid w:val="0020516D"/>
    <w:rsid w:val="00210D00"/>
    <w:rsid w:val="00224C66"/>
    <w:rsid w:val="002276E1"/>
    <w:rsid w:val="00227D10"/>
    <w:rsid w:val="00234F92"/>
    <w:rsid w:val="002368E3"/>
    <w:rsid w:val="00257BD3"/>
    <w:rsid w:val="00264C89"/>
    <w:rsid w:val="00264F5D"/>
    <w:rsid w:val="00274CE8"/>
    <w:rsid w:val="00274F53"/>
    <w:rsid w:val="00276795"/>
    <w:rsid w:val="002801EE"/>
    <w:rsid w:val="00280ECE"/>
    <w:rsid w:val="00295AD3"/>
    <w:rsid w:val="002B4B03"/>
    <w:rsid w:val="002C202E"/>
    <w:rsid w:val="002D207B"/>
    <w:rsid w:val="002F09C1"/>
    <w:rsid w:val="002F7E04"/>
    <w:rsid w:val="003043C1"/>
    <w:rsid w:val="00307B76"/>
    <w:rsid w:val="003442E5"/>
    <w:rsid w:val="00346B8D"/>
    <w:rsid w:val="00347221"/>
    <w:rsid w:val="00351392"/>
    <w:rsid w:val="00356924"/>
    <w:rsid w:val="00384971"/>
    <w:rsid w:val="003D0DE6"/>
    <w:rsid w:val="003D1035"/>
    <w:rsid w:val="003D3430"/>
    <w:rsid w:val="003D5FF4"/>
    <w:rsid w:val="003E2112"/>
    <w:rsid w:val="003F63D5"/>
    <w:rsid w:val="003F651D"/>
    <w:rsid w:val="004017A0"/>
    <w:rsid w:val="004022A2"/>
    <w:rsid w:val="00404565"/>
    <w:rsid w:val="00407E76"/>
    <w:rsid w:val="00424163"/>
    <w:rsid w:val="00431CE4"/>
    <w:rsid w:val="00444D42"/>
    <w:rsid w:val="00453DCB"/>
    <w:rsid w:val="00454758"/>
    <w:rsid w:val="00464FFE"/>
    <w:rsid w:val="004700FF"/>
    <w:rsid w:val="004852CC"/>
    <w:rsid w:val="004A01D5"/>
    <w:rsid w:val="004A3703"/>
    <w:rsid w:val="004B11AF"/>
    <w:rsid w:val="004B1A9D"/>
    <w:rsid w:val="004B66ED"/>
    <w:rsid w:val="004B68EA"/>
    <w:rsid w:val="004E6E4F"/>
    <w:rsid w:val="004F4F9E"/>
    <w:rsid w:val="005055FF"/>
    <w:rsid w:val="00527B9C"/>
    <w:rsid w:val="00535506"/>
    <w:rsid w:val="00535AC8"/>
    <w:rsid w:val="00543152"/>
    <w:rsid w:val="00547B0A"/>
    <w:rsid w:val="00550021"/>
    <w:rsid w:val="00553BEE"/>
    <w:rsid w:val="005671FC"/>
    <w:rsid w:val="00575AF6"/>
    <w:rsid w:val="005A17C1"/>
    <w:rsid w:val="005C067A"/>
    <w:rsid w:val="005C106C"/>
    <w:rsid w:val="005D4C85"/>
    <w:rsid w:val="005E4227"/>
    <w:rsid w:val="006146A7"/>
    <w:rsid w:val="00641476"/>
    <w:rsid w:val="0064582A"/>
    <w:rsid w:val="0065782D"/>
    <w:rsid w:val="00657A77"/>
    <w:rsid w:val="00666EFD"/>
    <w:rsid w:val="006751AC"/>
    <w:rsid w:val="006831D6"/>
    <w:rsid w:val="00685426"/>
    <w:rsid w:val="006A7752"/>
    <w:rsid w:val="006B1699"/>
    <w:rsid w:val="006B4584"/>
    <w:rsid w:val="006D28BB"/>
    <w:rsid w:val="006D6664"/>
    <w:rsid w:val="00704471"/>
    <w:rsid w:val="0070679F"/>
    <w:rsid w:val="007105E2"/>
    <w:rsid w:val="00711EAE"/>
    <w:rsid w:val="00725868"/>
    <w:rsid w:val="0073300C"/>
    <w:rsid w:val="00742B97"/>
    <w:rsid w:val="00746824"/>
    <w:rsid w:val="00762776"/>
    <w:rsid w:val="00763C74"/>
    <w:rsid w:val="0077083C"/>
    <w:rsid w:val="00776AFE"/>
    <w:rsid w:val="007B5EB9"/>
    <w:rsid w:val="007C141D"/>
    <w:rsid w:val="007F59E9"/>
    <w:rsid w:val="00822DB0"/>
    <w:rsid w:val="008416BD"/>
    <w:rsid w:val="00841D02"/>
    <w:rsid w:val="00872FBF"/>
    <w:rsid w:val="00883F79"/>
    <w:rsid w:val="00896D73"/>
    <w:rsid w:val="008B522F"/>
    <w:rsid w:val="008C6241"/>
    <w:rsid w:val="008E4633"/>
    <w:rsid w:val="008E4AB3"/>
    <w:rsid w:val="008E5C3F"/>
    <w:rsid w:val="008F206C"/>
    <w:rsid w:val="008F6899"/>
    <w:rsid w:val="0096156C"/>
    <w:rsid w:val="00971BCE"/>
    <w:rsid w:val="00980C6B"/>
    <w:rsid w:val="00990DEF"/>
    <w:rsid w:val="00991ECA"/>
    <w:rsid w:val="009A425D"/>
    <w:rsid w:val="009B26D3"/>
    <w:rsid w:val="009D3524"/>
    <w:rsid w:val="009D4529"/>
    <w:rsid w:val="00A02E21"/>
    <w:rsid w:val="00A039F5"/>
    <w:rsid w:val="00A13D5D"/>
    <w:rsid w:val="00A31564"/>
    <w:rsid w:val="00A4516A"/>
    <w:rsid w:val="00A465EF"/>
    <w:rsid w:val="00A47A00"/>
    <w:rsid w:val="00A5427A"/>
    <w:rsid w:val="00A747C0"/>
    <w:rsid w:val="00A837ED"/>
    <w:rsid w:val="00AA009B"/>
    <w:rsid w:val="00AB03D1"/>
    <w:rsid w:val="00AC275F"/>
    <w:rsid w:val="00AD49B6"/>
    <w:rsid w:val="00AD71E6"/>
    <w:rsid w:val="00AE64FE"/>
    <w:rsid w:val="00B0134E"/>
    <w:rsid w:val="00B06357"/>
    <w:rsid w:val="00B076BE"/>
    <w:rsid w:val="00B50729"/>
    <w:rsid w:val="00B56194"/>
    <w:rsid w:val="00B712E7"/>
    <w:rsid w:val="00B83BC5"/>
    <w:rsid w:val="00BA04C0"/>
    <w:rsid w:val="00BD0628"/>
    <w:rsid w:val="00BD587A"/>
    <w:rsid w:val="00BF340C"/>
    <w:rsid w:val="00BF45F7"/>
    <w:rsid w:val="00BF540E"/>
    <w:rsid w:val="00BF70DC"/>
    <w:rsid w:val="00C111EE"/>
    <w:rsid w:val="00C22E7F"/>
    <w:rsid w:val="00C34F7B"/>
    <w:rsid w:val="00C424E8"/>
    <w:rsid w:val="00C50872"/>
    <w:rsid w:val="00C84A42"/>
    <w:rsid w:val="00C8537A"/>
    <w:rsid w:val="00C87E53"/>
    <w:rsid w:val="00C93636"/>
    <w:rsid w:val="00C95130"/>
    <w:rsid w:val="00CD410E"/>
    <w:rsid w:val="00D078BF"/>
    <w:rsid w:val="00D25AAC"/>
    <w:rsid w:val="00D42F67"/>
    <w:rsid w:val="00D62C8C"/>
    <w:rsid w:val="00D75CBF"/>
    <w:rsid w:val="00D80AF3"/>
    <w:rsid w:val="00D81B11"/>
    <w:rsid w:val="00D86E8D"/>
    <w:rsid w:val="00D9249B"/>
    <w:rsid w:val="00DA70D4"/>
    <w:rsid w:val="00DC03DA"/>
    <w:rsid w:val="00DE564F"/>
    <w:rsid w:val="00DE78DF"/>
    <w:rsid w:val="00DF78DF"/>
    <w:rsid w:val="00E00EA9"/>
    <w:rsid w:val="00E151E5"/>
    <w:rsid w:val="00E246B3"/>
    <w:rsid w:val="00E26020"/>
    <w:rsid w:val="00E35068"/>
    <w:rsid w:val="00E364A9"/>
    <w:rsid w:val="00E525D4"/>
    <w:rsid w:val="00E53D86"/>
    <w:rsid w:val="00E5667B"/>
    <w:rsid w:val="00E87DDA"/>
    <w:rsid w:val="00EA415C"/>
    <w:rsid w:val="00EB2484"/>
    <w:rsid w:val="00EE0649"/>
    <w:rsid w:val="00F0752E"/>
    <w:rsid w:val="00F105C1"/>
    <w:rsid w:val="00F25AC7"/>
    <w:rsid w:val="00F26EE7"/>
    <w:rsid w:val="00F41A08"/>
    <w:rsid w:val="00F51442"/>
    <w:rsid w:val="00F73262"/>
    <w:rsid w:val="00F77B3E"/>
    <w:rsid w:val="00F85BB1"/>
    <w:rsid w:val="00F868A3"/>
    <w:rsid w:val="00F9136B"/>
    <w:rsid w:val="00FC131C"/>
    <w:rsid w:val="00FD480B"/>
    <w:rsid w:val="00FE1CB4"/>
    <w:rsid w:val="00FE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01D5"/>
    <w:pPr>
      <w:spacing w:after="0" w:line="240" w:lineRule="auto"/>
      <w:outlineLvl w:val="2"/>
    </w:pPr>
    <w:rPr>
      <w:rFonts w:ascii="Arial" w:eastAsia="Times New Roman" w:hAnsi="Arial" w:cs="Arial"/>
      <w:b/>
      <w:bCs/>
      <w:color w:val="A9181D"/>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30"/>
    <w:pPr>
      <w:ind w:left="720"/>
      <w:contextualSpacing/>
    </w:pPr>
  </w:style>
  <w:style w:type="character" w:styleId="CommentReference">
    <w:name w:val="annotation reference"/>
    <w:basedOn w:val="DefaultParagraphFont"/>
    <w:uiPriority w:val="99"/>
    <w:semiHidden/>
    <w:unhideWhenUsed/>
    <w:rsid w:val="00971BCE"/>
    <w:rPr>
      <w:sz w:val="16"/>
      <w:szCs w:val="16"/>
    </w:rPr>
  </w:style>
  <w:style w:type="paragraph" w:styleId="CommentText">
    <w:name w:val="annotation text"/>
    <w:basedOn w:val="Normal"/>
    <w:link w:val="CommentTextChar"/>
    <w:uiPriority w:val="99"/>
    <w:semiHidden/>
    <w:unhideWhenUsed/>
    <w:rsid w:val="00971BCE"/>
    <w:pPr>
      <w:spacing w:line="240" w:lineRule="auto"/>
    </w:pPr>
    <w:rPr>
      <w:sz w:val="20"/>
      <w:szCs w:val="20"/>
    </w:rPr>
  </w:style>
  <w:style w:type="character" w:customStyle="1" w:styleId="CommentTextChar">
    <w:name w:val="Comment Text Char"/>
    <w:basedOn w:val="DefaultParagraphFont"/>
    <w:link w:val="CommentText"/>
    <w:uiPriority w:val="99"/>
    <w:semiHidden/>
    <w:rsid w:val="00971BCE"/>
    <w:rPr>
      <w:sz w:val="20"/>
      <w:szCs w:val="20"/>
    </w:rPr>
  </w:style>
  <w:style w:type="paragraph" w:styleId="CommentSubject">
    <w:name w:val="annotation subject"/>
    <w:basedOn w:val="CommentText"/>
    <w:next w:val="CommentText"/>
    <w:link w:val="CommentSubjectChar"/>
    <w:uiPriority w:val="99"/>
    <w:semiHidden/>
    <w:unhideWhenUsed/>
    <w:rsid w:val="00971BCE"/>
    <w:rPr>
      <w:b/>
      <w:bCs/>
    </w:rPr>
  </w:style>
  <w:style w:type="character" w:customStyle="1" w:styleId="CommentSubjectChar">
    <w:name w:val="Comment Subject Char"/>
    <w:basedOn w:val="CommentTextChar"/>
    <w:link w:val="CommentSubject"/>
    <w:uiPriority w:val="99"/>
    <w:semiHidden/>
    <w:rsid w:val="00971BCE"/>
    <w:rPr>
      <w:b/>
      <w:bCs/>
      <w:sz w:val="20"/>
      <w:szCs w:val="20"/>
    </w:rPr>
  </w:style>
  <w:style w:type="paragraph" w:styleId="BalloonText">
    <w:name w:val="Balloon Text"/>
    <w:basedOn w:val="Normal"/>
    <w:link w:val="BalloonTextChar"/>
    <w:uiPriority w:val="99"/>
    <w:semiHidden/>
    <w:unhideWhenUsed/>
    <w:rsid w:val="00971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CE"/>
    <w:rPr>
      <w:rFonts w:ascii="Tahoma" w:hAnsi="Tahoma" w:cs="Tahoma"/>
      <w:sz w:val="16"/>
      <w:szCs w:val="16"/>
    </w:rPr>
  </w:style>
  <w:style w:type="table" w:styleId="TableGrid">
    <w:name w:val="Table Grid"/>
    <w:basedOn w:val="TableNormal"/>
    <w:uiPriority w:val="59"/>
    <w:rsid w:val="00236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A0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1D5"/>
    <w:rPr>
      <w:sz w:val="20"/>
      <w:szCs w:val="20"/>
    </w:rPr>
  </w:style>
  <w:style w:type="character" w:styleId="FootnoteReference">
    <w:name w:val="footnote reference"/>
    <w:basedOn w:val="DefaultParagraphFont"/>
    <w:uiPriority w:val="99"/>
    <w:semiHidden/>
    <w:unhideWhenUsed/>
    <w:rsid w:val="004A01D5"/>
    <w:rPr>
      <w:vertAlign w:val="superscript"/>
    </w:rPr>
  </w:style>
  <w:style w:type="character" w:customStyle="1" w:styleId="Heading3Char">
    <w:name w:val="Heading 3 Char"/>
    <w:basedOn w:val="DefaultParagraphFont"/>
    <w:link w:val="Heading3"/>
    <w:uiPriority w:val="9"/>
    <w:rsid w:val="004A01D5"/>
    <w:rPr>
      <w:rFonts w:ascii="Arial" w:eastAsia="Times New Roman" w:hAnsi="Arial" w:cs="Arial"/>
      <w:b/>
      <w:bCs/>
      <w:color w:val="A9181D"/>
      <w:sz w:val="31"/>
      <w:szCs w:val="31"/>
    </w:rPr>
  </w:style>
  <w:style w:type="character" w:styleId="Emphasis">
    <w:name w:val="Emphasis"/>
    <w:basedOn w:val="DefaultParagraphFont"/>
    <w:uiPriority w:val="20"/>
    <w:qFormat/>
    <w:rsid w:val="004A01D5"/>
    <w:rPr>
      <w:i/>
      <w:iCs/>
    </w:rPr>
  </w:style>
  <w:style w:type="character" w:customStyle="1" w:styleId="googqs-tidbit1">
    <w:name w:val="goog_qs-tidbit1"/>
    <w:basedOn w:val="DefaultParagraphFont"/>
    <w:rsid w:val="004A01D5"/>
    <w:rPr>
      <w:vanish w:val="0"/>
      <w:webHidden w:val="0"/>
      <w:specVanish w:val="0"/>
    </w:rPr>
  </w:style>
  <w:style w:type="table" w:styleId="LightShading-Accent3">
    <w:name w:val="Light Shading Accent 3"/>
    <w:basedOn w:val="TableNormal"/>
    <w:uiPriority w:val="60"/>
    <w:rsid w:val="00D62C8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basedOn w:val="DefaultParagraphFont"/>
    <w:uiPriority w:val="22"/>
    <w:qFormat/>
    <w:rsid w:val="00872F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01D5"/>
    <w:pPr>
      <w:spacing w:after="0" w:line="240" w:lineRule="auto"/>
      <w:outlineLvl w:val="2"/>
    </w:pPr>
    <w:rPr>
      <w:rFonts w:ascii="Arial" w:eastAsia="Times New Roman" w:hAnsi="Arial" w:cs="Arial"/>
      <w:b/>
      <w:bCs/>
      <w:color w:val="A9181D"/>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30"/>
    <w:pPr>
      <w:ind w:left="720"/>
      <w:contextualSpacing/>
    </w:pPr>
  </w:style>
  <w:style w:type="character" w:styleId="CommentReference">
    <w:name w:val="annotation reference"/>
    <w:basedOn w:val="DefaultParagraphFont"/>
    <w:uiPriority w:val="99"/>
    <w:semiHidden/>
    <w:unhideWhenUsed/>
    <w:rsid w:val="00971BCE"/>
    <w:rPr>
      <w:sz w:val="16"/>
      <w:szCs w:val="16"/>
    </w:rPr>
  </w:style>
  <w:style w:type="paragraph" w:styleId="CommentText">
    <w:name w:val="annotation text"/>
    <w:basedOn w:val="Normal"/>
    <w:link w:val="CommentTextChar"/>
    <w:uiPriority w:val="99"/>
    <w:semiHidden/>
    <w:unhideWhenUsed/>
    <w:rsid w:val="00971BCE"/>
    <w:pPr>
      <w:spacing w:line="240" w:lineRule="auto"/>
    </w:pPr>
    <w:rPr>
      <w:sz w:val="20"/>
      <w:szCs w:val="20"/>
    </w:rPr>
  </w:style>
  <w:style w:type="character" w:customStyle="1" w:styleId="CommentTextChar">
    <w:name w:val="Comment Text Char"/>
    <w:basedOn w:val="DefaultParagraphFont"/>
    <w:link w:val="CommentText"/>
    <w:uiPriority w:val="99"/>
    <w:semiHidden/>
    <w:rsid w:val="00971BCE"/>
    <w:rPr>
      <w:sz w:val="20"/>
      <w:szCs w:val="20"/>
    </w:rPr>
  </w:style>
  <w:style w:type="paragraph" w:styleId="CommentSubject">
    <w:name w:val="annotation subject"/>
    <w:basedOn w:val="CommentText"/>
    <w:next w:val="CommentText"/>
    <w:link w:val="CommentSubjectChar"/>
    <w:uiPriority w:val="99"/>
    <w:semiHidden/>
    <w:unhideWhenUsed/>
    <w:rsid w:val="00971BCE"/>
    <w:rPr>
      <w:b/>
      <w:bCs/>
    </w:rPr>
  </w:style>
  <w:style w:type="character" w:customStyle="1" w:styleId="CommentSubjectChar">
    <w:name w:val="Comment Subject Char"/>
    <w:basedOn w:val="CommentTextChar"/>
    <w:link w:val="CommentSubject"/>
    <w:uiPriority w:val="99"/>
    <w:semiHidden/>
    <w:rsid w:val="00971BCE"/>
    <w:rPr>
      <w:b/>
      <w:bCs/>
      <w:sz w:val="20"/>
      <w:szCs w:val="20"/>
    </w:rPr>
  </w:style>
  <w:style w:type="paragraph" w:styleId="BalloonText">
    <w:name w:val="Balloon Text"/>
    <w:basedOn w:val="Normal"/>
    <w:link w:val="BalloonTextChar"/>
    <w:uiPriority w:val="99"/>
    <w:semiHidden/>
    <w:unhideWhenUsed/>
    <w:rsid w:val="00971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CE"/>
    <w:rPr>
      <w:rFonts w:ascii="Tahoma" w:hAnsi="Tahoma" w:cs="Tahoma"/>
      <w:sz w:val="16"/>
      <w:szCs w:val="16"/>
    </w:rPr>
  </w:style>
  <w:style w:type="table" w:styleId="TableGrid">
    <w:name w:val="Table Grid"/>
    <w:basedOn w:val="TableNormal"/>
    <w:uiPriority w:val="59"/>
    <w:rsid w:val="00236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A0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1D5"/>
    <w:rPr>
      <w:sz w:val="20"/>
      <w:szCs w:val="20"/>
    </w:rPr>
  </w:style>
  <w:style w:type="character" w:styleId="FootnoteReference">
    <w:name w:val="footnote reference"/>
    <w:basedOn w:val="DefaultParagraphFont"/>
    <w:uiPriority w:val="99"/>
    <w:semiHidden/>
    <w:unhideWhenUsed/>
    <w:rsid w:val="004A01D5"/>
    <w:rPr>
      <w:vertAlign w:val="superscript"/>
    </w:rPr>
  </w:style>
  <w:style w:type="character" w:customStyle="1" w:styleId="Heading3Char">
    <w:name w:val="Heading 3 Char"/>
    <w:basedOn w:val="DefaultParagraphFont"/>
    <w:link w:val="Heading3"/>
    <w:uiPriority w:val="9"/>
    <w:rsid w:val="004A01D5"/>
    <w:rPr>
      <w:rFonts w:ascii="Arial" w:eastAsia="Times New Roman" w:hAnsi="Arial" w:cs="Arial"/>
      <w:b/>
      <w:bCs/>
      <w:color w:val="A9181D"/>
      <w:sz w:val="31"/>
      <w:szCs w:val="31"/>
    </w:rPr>
  </w:style>
  <w:style w:type="character" w:styleId="Emphasis">
    <w:name w:val="Emphasis"/>
    <w:basedOn w:val="DefaultParagraphFont"/>
    <w:uiPriority w:val="20"/>
    <w:qFormat/>
    <w:rsid w:val="004A01D5"/>
    <w:rPr>
      <w:i/>
      <w:iCs/>
    </w:rPr>
  </w:style>
  <w:style w:type="character" w:customStyle="1" w:styleId="googqs-tidbit1">
    <w:name w:val="goog_qs-tidbit1"/>
    <w:basedOn w:val="DefaultParagraphFont"/>
    <w:rsid w:val="004A01D5"/>
    <w:rPr>
      <w:vanish w:val="0"/>
      <w:webHidden w:val="0"/>
      <w:specVanish w:val="0"/>
    </w:rPr>
  </w:style>
  <w:style w:type="table" w:styleId="LightShading-Accent3">
    <w:name w:val="Light Shading Accent 3"/>
    <w:basedOn w:val="TableNormal"/>
    <w:uiPriority w:val="60"/>
    <w:rsid w:val="00D62C8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basedOn w:val="DefaultParagraphFont"/>
    <w:uiPriority w:val="22"/>
    <w:qFormat/>
    <w:rsid w:val="00872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4228">
      <w:bodyDiv w:val="1"/>
      <w:marLeft w:val="0"/>
      <w:marRight w:val="0"/>
      <w:marTop w:val="0"/>
      <w:marBottom w:val="0"/>
      <w:divBdr>
        <w:top w:val="none" w:sz="0" w:space="0" w:color="auto"/>
        <w:left w:val="none" w:sz="0" w:space="0" w:color="auto"/>
        <w:bottom w:val="none" w:sz="0" w:space="0" w:color="auto"/>
        <w:right w:val="none" w:sz="0" w:space="0" w:color="auto"/>
      </w:divBdr>
      <w:divsChild>
        <w:div w:id="93088913">
          <w:marLeft w:val="0"/>
          <w:marRight w:val="0"/>
          <w:marTop w:val="0"/>
          <w:marBottom w:val="0"/>
          <w:divBdr>
            <w:top w:val="none" w:sz="0" w:space="0" w:color="auto"/>
            <w:left w:val="none" w:sz="0" w:space="0" w:color="auto"/>
            <w:bottom w:val="none" w:sz="0" w:space="0" w:color="auto"/>
            <w:right w:val="none" w:sz="0" w:space="0" w:color="auto"/>
          </w:divBdr>
          <w:divsChild>
            <w:div w:id="87775145">
              <w:marLeft w:val="0"/>
              <w:marRight w:val="0"/>
              <w:marTop w:val="0"/>
              <w:marBottom w:val="0"/>
              <w:divBdr>
                <w:top w:val="none" w:sz="0" w:space="0" w:color="auto"/>
                <w:left w:val="none" w:sz="0" w:space="0" w:color="auto"/>
                <w:bottom w:val="none" w:sz="0" w:space="0" w:color="auto"/>
                <w:right w:val="none" w:sz="0" w:space="0" w:color="auto"/>
              </w:divBdr>
              <w:divsChild>
                <w:div w:id="1725254161">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9001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ED2F5-D525-45EB-A3B0-ED44D264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TechLaw Holdings, Inc.</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TKline</dc:creator>
  <cp:lastModifiedBy>BDerocher</cp:lastModifiedBy>
  <cp:revision>2</cp:revision>
  <cp:lastPrinted>2011-03-31T17:43:00Z</cp:lastPrinted>
  <dcterms:created xsi:type="dcterms:W3CDTF">2013-09-17T19:20:00Z</dcterms:created>
  <dcterms:modified xsi:type="dcterms:W3CDTF">2013-09-17T19:20:00Z</dcterms:modified>
</cp:coreProperties>
</file>